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79" w:rsidRDefault="00BA36F2" w:rsidP="00BA36F2">
      <w:pPr>
        <w:jc w:val="center"/>
        <w:rPr>
          <w:b/>
          <w:sz w:val="28"/>
        </w:rPr>
      </w:pPr>
      <w:bookmarkStart w:id="0" w:name="_GoBack"/>
      <w:bookmarkEnd w:id="0"/>
      <w:r w:rsidRPr="00BA36F2">
        <w:rPr>
          <w:b/>
          <w:sz w:val="28"/>
        </w:rPr>
        <w:t>Graeme Hugo colloquium</w:t>
      </w:r>
    </w:p>
    <w:p w:rsidR="006841E8" w:rsidRDefault="006841E8" w:rsidP="00BA36F2">
      <w:pPr>
        <w:jc w:val="center"/>
        <w:rPr>
          <w:b/>
          <w:sz w:val="28"/>
        </w:rPr>
      </w:pPr>
      <w:r>
        <w:rPr>
          <w:b/>
          <w:sz w:val="28"/>
        </w:rPr>
        <w:t>The urban-rural dichotomy in Asia – is it still meaningful?</w:t>
      </w:r>
    </w:p>
    <w:p w:rsidR="00F163DF" w:rsidRDefault="00F163DF" w:rsidP="00BA36F2">
      <w:pPr>
        <w:jc w:val="center"/>
        <w:rPr>
          <w:b/>
          <w:sz w:val="28"/>
        </w:rPr>
      </w:pPr>
      <w:r>
        <w:rPr>
          <w:b/>
          <w:sz w:val="28"/>
        </w:rPr>
        <w:t>Gavin Jones</w:t>
      </w:r>
    </w:p>
    <w:p w:rsidR="00F163DF" w:rsidRPr="00F163DF" w:rsidRDefault="00F163DF" w:rsidP="00F163DF">
      <w:pPr>
        <w:rPr>
          <w:i/>
          <w:sz w:val="28"/>
        </w:rPr>
      </w:pPr>
      <w:r w:rsidRPr="00F163DF">
        <w:rPr>
          <w:i/>
          <w:sz w:val="28"/>
        </w:rPr>
        <w:t xml:space="preserve">The following are rough notes on what I said at the colloquium. I won’t try to polish them, because it was not a polished presentation, but rather trying to highlight areas of Graeme’s work that interacted with mine.  </w:t>
      </w:r>
    </w:p>
    <w:p w:rsidR="00BA36F2" w:rsidRPr="000D2124" w:rsidRDefault="00F163DF" w:rsidP="00BA36F2">
      <w:pPr>
        <w:rPr>
          <w:sz w:val="28"/>
        </w:rPr>
      </w:pPr>
      <w:r w:rsidRPr="00F163DF">
        <w:rPr>
          <w:sz w:val="28"/>
        </w:rPr>
        <w:t xml:space="preserve">Recently, I was working on a monograph on urbanization in Indonesia, part of a UNFPA series. </w:t>
      </w:r>
      <w:r w:rsidR="004972A3" w:rsidRPr="004972A3">
        <w:rPr>
          <w:sz w:val="28"/>
        </w:rPr>
        <w:t xml:space="preserve">In connection with this, I went back to the </w:t>
      </w:r>
      <w:r>
        <w:rPr>
          <w:sz w:val="28"/>
        </w:rPr>
        <w:t xml:space="preserve">1981 </w:t>
      </w:r>
      <w:r w:rsidR="00BA36F2" w:rsidRPr="00F163DF">
        <w:rPr>
          <w:sz w:val="28"/>
        </w:rPr>
        <w:t xml:space="preserve">ESCAP study – </w:t>
      </w:r>
      <w:r w:rsidR="00BA36F2" w:rsidRPr="00F163DF">
        <w:rPr>
          <w:i/>
          <w:sz w:val="28"/>
        </w:rPr>
        <w:t>Migration, Urbanization and Development in Indonesia</w:t>
      </w:r>
      <w:r w:rsidR="00BA36F2" w:rsidRPr="000D2124">
        <w:rPr>
          <w:sz w:val="28"/>
        </w:rPr>
        <w:t xml:space="preserve"> – </w:t>
      </w:r>
      <w:r>
        <w:rPr>
          <w:sz w:val="28"/>
        </w:rPr>
        <w:t xml:space="preserve">this was a most impressive study, and although </w:t>
      </w:r>
      <w:r w:rsidR="00BA36F2" w:rsidRPr="000D2124">
        <w:rPr>
          <w:sz w:val="28"/>
        </w:rPr>
        <w:t>Graeme wrote most chapters</w:t>
      </w:r>
      <w:r>
        <w:rPr>
          <w:sz w:val="28"/>
        </w:rPr>
        <w:t xml:space="preserve">, this would not have been evident from the title page, which simply listed it as an ESCAP Country Report. It’s an example of Graeme’s prodigious productivity. </w:t>
      </w:r>
    </w:p>
    <w:p w:rsidR="00BA36F2" w:rsidRDefault="00F163DF" w:rsidP="00BA36F2">
      <w:pPr>
        <w:rPr>
          <w:sz w:val="28"/>
        </w:rPr>
      </w:pPr>
      <w:r w:rsidRPr="00F163DF">
        <w:rPr>
          <w:sz w:val="28"/>
        </w:rPr>
        <w:t xml:space="preserve">Then in 1987 came the </w:t>
      </w:r>
      <w:r w:rsidRPr="00F163DF">
        <w:rPr>
          <w:i/>
          <w:sz w:val="28"/>
        </w:rPr>
        <w:t>Demographic Dimension in Indonesian Development</w:t>
      </w:r>
      <w:r>
        <w:rPr>
          <w:i/>
          <w:sz w:val="28"/>
        </w:rPr>
        <w:t xml:space="preserve">, </w:t>
      </w:r>
      <w:r w:rsidRPr="00F163DF">
        <w:rPr>
          <w:sz w:val="28"/>
        </w:rPr>
        <w:t xml:space="preserve">co-authored by Graeme, Terry and Valerie Hull and myself. </w:t>
      </w:r>
      <w:r w:rsidR="00BA36F2" w:rsidRPr="00F163DF">
        <w:rPr>
          <w:sz w:val="28"/>
        </w:rPr>
        <w:t>Graeme</w:t>
      </w:r>
      <w:r>
        <w:rPr>
          <w:sz w:val="28"/>
        </w:rPr>
        <w:t xml:space="preserve"> wrote the chapters on internal migration and urbanization, which made a rich contribution to the book, and indeed c</w:t>
      </w:r>
      <w:r w:rsidR="00BA36F2" w:rsidRPr="00F163DF">
        <w:rPr>
          <w:sz w:val="28"/>
        </w:rPr>
        <w:t xml:space="preserve">ould </w:t>
      </w:r>
      <w:r>
        <w:rPr>
          <w:sz w:val="28"/>
        </w:rPr>
        <w:t xml:space="preserve">almost have been </w:t>
      </w:r>
      <w:r w:rsidR="00BA36F2" w:rsidRPr="00F163DF">
        <w:rPr>
          <w:sz w:val="28"/>
        </w:rPr>
        <w:t xml:space="preserve">a whole book on their </w:t>
      </w:r>
      <w:r w:rsidR="00BA36F2" w:rsidRPr="000D2124">
        <w:rPr>
          <w:sz w:val="28"/>
        </w:rPr>
        <w:t>own</w:t>
      </w:r>
      <w:r>
        <w:rPr>
          <w:sz w:val="28"/>
        </w:rPr>
        <w:t xml:space="preserve">, as the original manuscript had to be trimmed considerably in order to keep these topics to their appropriate length in a wide ranging book with a publisher-imposed word limit. </w:t>
      </w:r>
    </w:p>
    <w:p w:rsidR="00055BB7" w:rsidRPr="00055BB7" w:rsidRDefault="00055BB7" w:rsidP="00BA36F2">
      <w:pPr>
        <w:rPr>
          <w:b/>
          <w:sz w:val="28"/>
        </w:rPr>
      </w:pPr>
      <w:r>
        <w:rPr>
          <w:sz w:val="28"/>
        </w:rPr>
        <w:t xml:space="preserve">But </w:t>
      </w:r>
      <w:r w:rsidR="00036922">
        <w:rPr>
          <w:sz w:val="28"/>
        </w:rPr>
        <w:t xml:space="preserve">Salut Muhidin </w:t>
      </w:r>
      <w:r w:rsidRPr="00036922">
        <w:rPr>
          <w:sz w:val="28"/>
        </w:rPr>
        <w:t xml:space="preserve">will be saying more about </w:t>
      </w:r>
      <w:r w:rsidR="00952C9A">
        <w:rPr>
          <w:sz w:val="28"/>
        </w:rPr>
        <w:t>Graeme’s contribution to Indonesian demographic studies</w:t>
      </w:r>
      <w:r w:rsidR="00036922">
        <w:rPr>
          <w:sz w:val="28"/>
        </w:rPr>
        <w:t>, so let me move on</w:t>
      </w:r>
      <w:r w:rsidRPr="00036922">
        <w:rPr>
          <w:sz w:val="28"/>
        </w:rPr>
        <w:t>.</w:t>
      </w:r>
    </w:p>
    <w:p w:rsidR="00EB4360" w:rsidRDefault="00EB4360" w:rsidP="00BA36F2">
      <w:pPr>
        <w:rPr>
          <w:sz w:val="28"/>
        </w:rPr>
      </w:pPr>
    </w:p>
    <w:p w:rsidR="00EB4360" w:rsidRPr="00EB4360" w:rsidRDefault="00EB4360" w:rsidP="00BA36F2">
      <w:pPr>
        <w:rPr>
          <w:b/>
          <w:sz w:val="28"/>
        </w:rPr>
      </w:pPr>
      <w:r w:rsidRPr="00EB4360">
        <w:rPr>
          <w:b/>
          <w:sz w:val="28"/>
        </w:rPr>
        <w:t xml:space="preserve">Graeme </w:t>
      </w:r>
      <w:r w:rsidR="00055BB7">
        <w:rPr>
          <w:b/>
          <w:sz w:val="28"/>
        </w:rPr>
        <w:t xml:space="preserve">is </w:t>
      </w:r>
      <w:r w:rsidRPr="00EB4360">
        <w:rPr>
          <w:b/>
          <w:sz w:val="28"/>
        </w:rPr>
        <w:t xml:space="preserve">probably best known for his work on international migration. </w:t>
      </w:r>
    </w:p>
    <w:p w:rsidR="00BA36F2" w:rsidRPr="000D2124" w:rsidRDefault="00F163DF" w:rsidP="00BA36F2">
      <w:pPr>
        <w:rPr>
          <w:sz w:val="28"/>
        </w:rPr>
      </w:pPr>
      <w:r w:rsidRPr="00F163DF">
        <w:rPr>
          <w:sz w:val="28"/>
        </w:rPr>
        <w:t xml:space="preserve">When we founded </w:t>
      </w:r>
      <w:r>
        <w:rPr>
          <w:sz w:val="28"/>
        </w:rPr>
        <w:t xml:space="preserve">the journal </w:t>
      </w:r>
      <w:r w:rsidR="00BA36F2" w:rsidRPr="00F163DF">
        <w:rPr>
          <w:i/>
          <w:sz w:val="28"/>
        </w:rPr>
        <w:t>Asian Population Studies</w:t>
      </w:r>
      <w:r w:rsidR="00BA36F2" w:rsidRPr="00F163DF">
        <w:rPr>
          <w:sz w:val="28"/>
        </w:rPr>
        <w:t xml:space="preserve"> </w:t>
      </w:r>
      <w:r>
        <w:rPr>
          <w:sz w:val="28"/>
        </w:rPr>
        <w:t xml:space="preserve">(APS) in 2003, I asked </w:t>
      </w:r>
      <w:r w:rsidR="00BA36F2" w:rsidRPr="000D2124">
        <w:rPr>
          <w:sz w:val="28"/>
        </w:rPr>
        <w:t>notable demographers for contributions to the very first issue</w:t>
      </w:r>
      <w:r>
        <w:rPr>
          <w:sz w:val="28"/>
        </w:rPr>
        <w:t>, to get the journal off to a good start</w:t>
      </w:r>
      <w:r w:rsidR="00BA36F2" w:rsidRPr="000D2124">
        <w:rPr>
          <w:sz w:val="28"/>
        </w:rPr>
        <w:t xml:space="preserve">. </w:t>
      </w:r>
      <w:r>
        <w:rPr>
          <w:sz w:val="28"/>
        </w:rPr>
        <w:t xml:space="preserve">Of course, Graeme was one of those invited to write a paper, and he </w:t>
      </w:r>
      <w:r w:rsidR="00BA36F2" w:rsidRPr="000D2124">
        <w:rPr>
          <w:sz w:val="28"/>
        </w:rPr>
        <w:t xml:space="preserve">wrote on “The new international migration in Asia: </w:t>
      </w:r>
      <w:r>
        <w:rPr>
          <w:sz w:val="28"/>
        </w:rPr>
        <w:t>c</w:t>
      </w:r>
      <w:r w:rsidR="00BA36F2" w:rsidRPr="000D2124">
        <w:rPr>
          <w:sz w:val="28"/>
        </w:rPr>
        <w:t xml:space="preserve">hallenges for population research”. </w:t>
      </w:r>
    </w:p>
    <w:p w:rsidR="000D2124" w:rsidRPr="000D2124" w:rsidRDefault="00BA36F2" w:rsidP="00BA36F2">
      <w:pPr>
        <w:rPr>
          <w:sz w:val="28"/>
        </w:rPr>
      </w:pPr>
      <w:r w:rsidRPr="000D2124">
        <w:rPr>
          <w:sz w:val="28"/>
        </w:rPr>
        <w:t xml:space="preserve">Graeme had 2 subsequent papers published in APS – on Chinese and Indian skilled migration to Australia, and on </w:t>
      </w:r>
      <w:r w:rsidR="000D2124" w:rsidRPr="000D2124">
        <w:rPr>
          <w:sz w:val="28"/>
        </w:rPr>
        <w:t xml:space="preserve">“Migration and development in Malaysia: an emigration perspective” – on the Malaysian diaspora, with particular emphasis on the movement of Malaysians to Australia. </w:t>
      </w:r>
      <w:r w:rsidR="00F163DF">
        <w:rPr>
          <w:sz w:val="28"/>
        </w:rPr>
        <w:t>The paper included a f</w:t>
      </w:r>
      <w:r w:rsidR="000D2124" w:rsidRPr="000D2124">
        <w:rPr>
          <w:sz w:val="28"/>
        </w:rPr>
        <w:t xml:space="preserve">ascinating analysis of the number of temporary moves into and out of </w:t>
      </w:r>
      <w:r w:rsidR="000D2124" w:rsidRPr="000D2124">
        <w:rPr>
          <w:sz w:val="28"/>
        </w:rPr>
        <w:lastRenderedPageBreak/>
        <w:t xml:space="preserve">Australia by Malaysia-born persons according to their resident status – </w:t>
      </w:r>
      <w:r w:rsidR="00F163DF">
        <w:rPr>
          <w:sz w:val="28"/>
        </w:rPr>
        <w:t xml:space="preserve">a </w:t>
      </w:r>
      <w:r w:rsidR="000D2124" w:rsidRPr="000D2124">
        <w:rPr>
          <w:sz w:val="28"/>
        </w:rPr>
        <w:t xml:space="preserve">remarkable proportion </w:t>
      </w:r>
      <w:r w:rsidR="00F163DF">
        <w:rPr>
          <w:sz w:val="28"/>
        </w:rPr>
        <w:t xml:space="preserve">had more than </w:t>
      </w:r>
      <w:r w:rsidR="000D2124" w:rsidRPr="000D2124">
        <w:rPr>
          <w:sz w:val="28"/>
        </w:rPr>
        <w:t xml:space="preserve">10 </w:t>
      </w:r>
      <w:r w:rsidR="00F163DF">
        <w:rPr>
          <w:sz w:val="28"/>
        </w:rPr>
        <w:t xml:space="preserve">such </w:t>
      </w:r>
      <w:r w:rsidR="000D2124" w:rsidRPr="000D2124">
        <w:rPr>
          <w:sz w:val="28"/>
        </w:rPr>
        <w:t>moves. (APS, Nov. 2011).</w:t>
      </w:r>
    </w:p>
    <w:p w:rsidR="00BA36F2" w:rsidRPr="000D2124" w:rsidRDefault="000D2124" w:rsidP="00BA36F2">
      <w:pPr>
        <w:rPr>
          <w:sz w:val="28"/>
        </w:rPr>
      </w:pPr>
      <w:r w:rsidRPr="000D2124">
        <w:rPr>
          <w:sz w:val="28"/>
        </w:rPr>
        <w:t xml:space="preserve">This study </w:t>
      </w:r>
      <w:r w:rsidR="00055BB7">
        <w:rPr>
          <w:sz w:val="28"/>
        </w:rPr>
        <w:t xml:space="preserve">drew on Graeme’s research in the </w:t>
      </w:r>
      <w:r w:rsidRPr="004234E2">
        <w:rPr>
          <w:i/>
          <w:sz w:val="28"/>
        </w:rPr>
        <w:t>Malaysian Second Population Strategic Plan Study</w:t>
      </w:r>
      <w:r w:rsidRPr="000D2124">
        <w:rPr>
          <w:sz w:val="28"/>
        </w:rPr>
        <w:t xml:space="preserve">, published in 2012.  </w:t>
      </w:r>
      <w:r w:rsidR="00055BB7">
        <w:rPr>
          <w:sz w:val="28"/>
        </w:rPr>
        <w:t xml:space="preserve">I coordinated this study, and invited Graeme to be the only other non-Malaysian to be part of the team. He did a great job, and one benefit was that Graeme was able to follow up his earlier research into Indonesian migration to Sabah, much of it originating in Flores, from the perspective of the receiving end – Sabah.   </w:t>
      </w:r>
      <w:r w:rsidRPr="000D2124">
        <w:rPr>
          <w:sz w:val="28"/>
        </w:rPr>
        <w:t xml:space="preserve"> </w:t>
      </w:r>
      <w:r w:rsidR="00BA36F2" w:rsidRPr="000D2124">
        <w:rPr>
          <w:sz w:val="28"/>
        </w:rPr>
        <w:t xml:space="preserve">  </w:t>
      </w:r>
    </w:p>
    <w:p w:rsidR="000D2124" w:rsidRDefault="00EB4360" w:rsidP="00BA36F2">
      <w:pPr>
        <w:rPr>
          <w:sz w:val="28"/>
        </w:rPr>
      </w:pPr>
      <w:r w:rsidRPr="00F163DF">
        <w:rPr>
          <w:sz w:val="28"/>
        </w:rPr>
        <w:t>Another area where my research intersected with Graeme’s</w:t>
      </w:r>
      <w:r w:rsidR="00F163DF" w:rsidRPr="00F163DF">
        <w:rPr>
          <w:sz w:val="28"/>
        </w:rPr>
        <w:t xml:space="preserve"> was the work on </w:t>
      </w:r>
      <w:r w:rsidR="000D2124" w:rsidRPr="00F163DF">
        <w:rPr>
          <w:b/>
          <w:sz w:val="28"/>
        </w:rPr>
        <w:t>urban-rural linkages</w:t>
      </w:r>
      <w:r w:rsidR="000D2124" w:rsidRPr="000D2124">
        <w:rPr>
          <w:sz w:val="28"/>
        </w:rPr>
        <w:t>. His book with Tony Champion</w:t>
      </w:r>
      <w:r w:rsidR="00F163DF">
        <w:rPr>
          <w:sz w:val="28"/>
        </w:rPr>
        <w:t>,</w:t>
      </w:r>
      <w:r w:rsidR="000D2124" w:rsidRPr="000D2124">
        <w:rPr>
          <w:sz w:val="28"/>
        </w:rPr>
        <w:t xml:space="preserve"> </w:t>
      </w:r>
      <w:r w:rsidR="00C01DC0" w:rsidRPr="00C01DC0">
        <w:rPr>
          <w:i/>
          <w:sz w:val="28"/>
        </w:rPr>
        <w:t>New Forms of Urbanization. Beyond the Urban-Rural Dichotomy</w:t>
      </w:r>
      <w:r>
        <w:rPr>
          <w:i/>
          <w:sz w:val="28"/>
        </w:rPr>
        <w:t>, 2004</w:t>
      </w:r>
      <w:r w:rsidR="00F163DF">
        <w:rPr>
          <w:i/>
          <w:sz w:val="28"/>
        </w:rPr>
        <w:t xml:space="preserve"> </w:t>
      </w:r>
      <w:r w:rsidR="00F163DF" w:rsidRPr="00F163DF">
        <w:rPr>
          <w:sz w:val="28"/>
        </w:rPr>
        <w:t>was a</w:t>
      </w:r>
      <w:r w:rsidR="00F163DF">
        <w:rPr>
          <w:i/>
          <w:sz w:val="28"/>
        </w:rPr>
        <w:t xml:space="preserve"> </w:t>
      </w:r>
      <w:r w:rsidR="00952C9A">
        <w:rPr>
          <w:sz w:val="28"/>
        </w:rPr>
        <w:t xml:space="preserve">very important </w:t>
      </w:r>
      <w:r w:rsidR="00F163DF">
        <w:rPr>
          <w:sz w:val="28"/>
        </w:rPr>
        <w:t>contribution</w:t>
      </w:r>
      <w:r w:rsidR="00952C9A">
        <w:rPr>
          <w:sz w:val="28"/>
        </w:rPr>
        <w:t xml:space="preserve">. </w:t>
      </w:r>
      <w:r w:rsidR="00F163DF">
        <w:rPr>
          <w:sz w:val="28"/>
        </w:rPr>
        <w:t>Some k</w:t>
      </w:r>
      <w:r w:rsidR="00193AA7">
        <w:rPr>
          <w:sz w:val="28"/>
        </w:rPr>
        <w:t>ey points from the book</w:t>
      </w:r>
      <w:r>
        <w:rPr>
          <w:sz w:val="28"/>
        </w:rPr>
        <w:t>:</w:t>
      </w:r>
    </w:p>
    <w:p w:rsidR="006841E8" w:rsidRDefault="006841E8" w:rsidP="00BA36F2">
      <w:pPr>
        <w:rPr>
          <w:sz w:val="28"/>
        </w:rPr>
      </w:pPr>
      <w:r>
        <w:rPr>
          <w:sz w:val="28"/>
        </w:rPr>
        <w:t xml:space="preserve">They noted that a UN Habitat report in 1996 urged caution in using the data published in the UN World Urbanization Prospects: if you say 45% of the world’s population is living in urban areas, you shouldn’t think of this as a precise percentage, but rather as indicating that somewhere between 40 and 55% are living in urban areas, depending on the criteria used to define what is an “urban centre”.  </w:t>
      </w:r>
    </w:p>
    <w:p w:rsidR="00046740" w:rsidRDefault="00055BB7" w:rsidP="00EB4360">
      <w:pPr>
        <w:rPr>
          <w:sz w:val="28"/>
        </w:rPr>
      </w:pPr>
      <w:r>
        <w:rPr>
          <w:sz w:val="28"/>
        </w:rPr>
        <w:t xml:space="preserve">I did some research in Singapore </w:t>
      </w:r>
      <w:r w:rsidR="00EB4360">
        <w:rPr>
          <w:sz w:val="28"/>
        </w:rPr>
        <w:t xml:space="preserve">with Leontine </w:t>
      </w:r>
      <w:r>
        <w:rPr>
          <w:sz w:val="28"/>
        </w:rPr>
        <w:t xml:space="preserve">Alkema </w:t>
      </w:r>
      <w:r w:rsidR="00EB4360">
        <w:rPr>
          <w:sz w:val="28"/>
        </w:rPr>
        <w:t xml:space="preserve">and Cynthia </w:t>
      </w:r>
      <w:r>
        <w:rPr>
          <w:sz w:val="28"/>
        </w:rPr>
        <w:t xml:space="preserve">Lai </w:t>
      </w:r>
      <w:r w:rsidR="00EB4360">
        <w:rPr>
          <w:sz w:val="28"/>
        </w:rPr>
        <w:t xml:space="preserve">on urban definitions, </w:t>
      </w:r>
      <w:r w:rsidR="00470344">
        <w:rPr>
          <w:sz w:val="28"/>
        </w:rPr>
        <w:t>in which we compared the level of urbanization in all the world’s countries with what would be expected based on a regression relationship between level of urbanization and factors expected to be related, controlling for whether the definition of urbanization in the country was judged to be restrictive, neutral or generous.</w:t>
      </w:r>
      <w:r w:rsidR="00470344">
        <w:rPr>
          <w:rStyle w:val="FootnoteReference"/>
          <w:sz w:val="28"/>
        </w:rPr>
        <w:footnoteReference w:id="1"/>
      </w:r>
      <w:r w:rsidR="00470344">
        <w:rPr>
          <w:sz w:val="28"/>
        </w:rPr>
        <w:t xml:space="preserve"> The idea was then to examine outliers to see whether they could be explained. The</w:t>
      </w:r>
      <w:r w:rsidR="00F163DF">
        <w:rPr>
          <w:sz w:val="28"/>
        </w:rPr>
        <w:t xml:space="preserve"> paper </w:t>
      </w:r>
      <w:r w:rsidR="00470344">
        <w:rPr>
          <w:sz w:val="28"/>
        </w:rPr>
        <w:t xml:space="preserve">was </w:t>
      </w:r>
      <w:r w:rsidR="00F163DF">
        <w:rPr>
          <w:sz w:val="28"/>
        </w:rPr>
        <w:t xml:space="preserve">published in </w:t>
      </w:r>
      <w:r w:rsidR="00046740">
        <w:rPr>
          <w:sz w:val="28"/>
        </w:rPr>
        <w:t>2013</w:t>
      </w:r>
      <w:r w:rsidR="00F163DF">
        <w:rPr>
          <w:sz w:val="28"/>
        </w:rPr>
        <w:t xml:space="preserve"> </w:t>
      </w:r>
      <w:r w:rsidR="005A68BB">
        <w:rPr>
          <w:sz w:val="28"/>
        </w:rPr>
        <w:t>i</w:t>
      </w:r>
      <w:r w:rsidR="00F163DF">
        <w:rPr>
          <w:sz w:val="28"/>
        </w:rPr>
        <w:t xml:space="preserve">n </w:t>
      </w:r>
      <w:r w:rsidR="00F163DF" w:rsidRPr="005A68BB">
        <w:rPr>
          <w:i/>
          <w:sz w:val="28"/>
        </w:rPr>
        <w:t>Journal of Population Research</w:t>
      </w:r>
      <w:r w:rsidR="00046740">
        <w:rPr>
          <w:i/>
          <w:sz w:val="28"/>
        </w:rPr>
        <w:t>)</w:t>
      </w:r>
      <w:r w:rsidR="00F163DF">
        <w:rPr>
          <w:sz w:val="28"/>
        </w:rPr>
        <w:t>.</w:t>
      </w:r>
      <w:r w:rsidR="00046740">
        <w:rPr>
          <w:sz w:val="28"/>
        </w:rPr>
        <w:t xml:space="preserve"> A key figure from this paper is reproduced on the next page.  </w:t>
      </w:r>
    </w:p>
    <w:p w:rsidR="00046740" w:rsidRDefault="00046740" w:rsidP="00EB4360">
      <w:pPr>
        <w:rPr>
          <w:b/>
          <w:bCs/>
          <w:sz w:val="28"/>
          <w:lang w:val="en-US"/>
        </w:rPr>
      </w:pPr>
    </w:p>
    <w:p w:rsidR="00046740" w:rsidRDefault="00046740" w:rsidP="00EB4360">
      <w:pPr>
        <w:rPr>
          <w:sz w:val="28"/>
        </w:rPr>
      </w:pPr>
      <w:r w:rsidRPr="00046740">
        <w:rPr>
          <w:b/>
          <w:bCs/>
          <w:sz w:val="28"/>
          <w:lang w:val="en-US"/>
        </w:rPr>
        <w:lastRenderedPageBreak/>
        <w:t xml:space="preserve">Comparison of urbanization estimates for countries with more than 10 per cent difference (absolute) between the alternative </w:t>
      </w:r>
      <w:r>
        <w:rPr>
          <w:b/>
          <w:bCs/>
          <w:sz w:val="28"/>
          <w:lang w:val="en-US"/>
        </w:rPr>
        <w:t xml:space="preserve">estimate </w:t>
      </w:r>
      <w:r w:rsidRPr="00046740">
        <w:rPr>
          <w:b/>
          <w:bCs/>
          <w:sz w:val="28"/>
          <w:lang w:val="en-US"/>
        </w:rPr>
        <w:t>of urbanization and the UN estimates for the year 2000.</w:t>
      </w:r>
    </w:p>
    <w:p w:rsidR="00046740" w:rsidRDefault="00046740" w:rsidP="00EB4360">
      <w:pPr>
        <w:rPr>
          <w:sz w:val="28"/>
        </w:rPr>
      </w:pPr>
      <w:r>
        <w:rPr>
          <w:noProof/>
          <w:lang w:val="en-US"/>
        </w:rPr>
        <w:drawing>
          <wp:inline distT="0" distB="0" distL="0" distR="0" wp14:anchorId="34ADE382" wp14:editId="0DFDCA7F">
            <wp:extent cx="5391150" cy="5791200"/>
            <wp:effectExtent l="0" t="0" r="0" b="0"/>
            <wp:docPr id="4" name="Picture 3" descr="C:\Users\staal\Documents\Urbanisation\RcodePU\final201203\fig\results.biggestdiff.2000.tif"/>
            <wp:cNvGraphicFramePr/>
            <a:graphic xmlns:a="http://schemas.openxmlformats.org/drawingml/2006/main">
              <a:graphicData uri="http://schemas.openxmlformats.org/drawingml/2006/picture">
                <pic:pic xmlns:pic="http://schemas.openxmlformats.org/drawingml/2006/picture">
                  <pic:nvPicPr>
                    <pic:cNvPr id="4" name="Picture 3" descr="C:\Users\staal\Documents\Urbanisation\RcodePU\final201203\fig\results.biggestdiff.2000.tif"/>
                    <pic:cNvPicPr/>
                  </pic:nvPicPr>
                  <pic:blipFill>
                    <a:blip r:embed="rId9" cstate="print"/>
                    <a:srcRect/>
                    <a:stretch>
                      <a:fillRect/>
                    </a:stretch>
                  </pic:blipFill>
                  <pic:spPr bwMode="auto">
                    <a:xfrm>
                      <a:off x="0" y="0"/>
                      <a:ext cx="5391150" cy="5791200"/>
                    </a:xfrm>
                    <a:prstGeom prst="rect">
                      <a:avLst/>
                    </a:prstGeom>
                    <a:noFill/>
                    <a:ln w="9525">
                      <a:noFill/>
                      <a:miter lim="800000"/>
                      <a:headEnd/>
                      <a:tailEnd/>
                    </a:ln>
                  </pic:spPr>
                </pic:pic>
              </a:graphicData>
            </a:graphic>
          </wp:inline>
        </w:drawing>
      </w:r>
    </w:p>
    <w:p w:rsidR="00046740" w:rsidRDefault="00046740" w:rsidP="00EB4360">
      <w:pPr>
        <w:rPr>
          <w:sz w:val="28"/>
        </w:rPr>
      </w:pPr>
    </w:p>
    <w:p w:rsidR="00470344" w:rsidRDefault="00470344" w:rsidP="00470344">
      <w:pPr>
        <w:rPr>
          <w:sz w:val="28"/>
        </w:rPr>
      </w:pPr>
      <w:r w:rsidRPr="003734EB">
        <w:rPr>
          <w:sz w:val="28"/>
        </w:rPr>
        <w:t>A lot of the outliers are quite small countries. But some are larger – Thailand, Sri Lanka, Brazil</w:t>
      </w:r>
      <w:r>
        <w:rPr>
          <w:sz w:val="28"/>
        </w:rPr>
        <w:t>, among others</w:t>
      </w:r>
      <w:r w:rsidRPr="003734EB">
        <w:rPr>
          <w:sz w:val="28"/>
        </w:rPr>
        <w:t xml:space="preserve">. </w:t>
      </w:r>
      <w:r>
        <w:rPr>
          <w:sz w:val="28"/>
        </w:rPr>
        <w:t xml:space="preserve">When you investigate particular cases, it’s generally quite easy to discover the reasons why the countries lie outside expected levels of urbanization. But it means that inter-country comparisons of urbanization levels are hazardous, particularly if we compare two countries that lie off the regression line by more than 10% in opposite directions. </w:t>
      </w:r>
    </w:p>
    <w:p w:rsidR="00EB4360" w:rsidRPr="003734EB" w:rsidRDefault="003734EB" w:rsidP="00EB4360">
      <w:pPr>
        <w:rPr>
          <w:sz w:val="28"/>
        </w:rPr>
      </w:pPr>
      <w:r>
        <w:rPr>
          <w:sz w:val="28"/>
        </w:rPr>
        <w:lastRenderedPageBreak/>
        <w:t>Urban agglomerations are another area where some strange figures appear in the UN estimates.</w:t>
      </w:r>
      <w:r w:rsidRPr="003734EB">
        <w:rPr>
          <w:sz w:val="28"/>
        </w:rPr>
        <w:t xml:space="preserve"> </w:t>
      </w:r>
      <w:r w:rsidR="00EB4360" w:rsidRPr="003734EB">
        <w:rPr>
          <w:sz w:val="28"/>
        </w:rPr>
        <w:t xml:space="preserve">  </w:t>
      </w:r>
    </w:p>
    <w:p w:rsidR="00EB4360" w:rsidRDefault="00EB4360" w:rsidP="00EB4360">
      <w:pPr>
        <w:rPr>
          <w:sz w:val="28"/>
        </w:rPr>
      </w:pPr>
      <w:r>
        <w:rPr>
          <w:sz w:val="28"/>
        </w:rPr>
        <w:t xml:space="preserve">Kuala Lumpur, for example. </w:t>
      </w:r>
      <w:r w:rsidR="003734EB">
        <w:rPr>
          <w:sz w:val="28"/>
        </w:rPr>
        <w:t>UN show</w:t>
      </w:r>
      <w:r w:rsidR="00B66F43">
        <w:rPr>
          <w:sz w:val="28"/>
        </w:rPr>
        <w:t xml:space="preserve">ed 1.5 </w:t>
      </w:r>
      <w:r w:rsidR="003734EB">
        <w:rPr>
          <w:sz w:val="28"/>
        </w:rPr>
        <w:t>million</w:t>
      </w:r>
      <w:r w:rsidR="00B66F43">
        <w:rPr>
          <w:sz w:val="28"/>
        </w:rPr>
        <w:t xml:space="preserve"> until a very recent revision</w:t>
      </w:r>
      <w:r w:rsidR="003734EB">
        <w:rPr>
          <w:sz w:val="28"/>
        </w:rPr>
        <w:t>. The real urban agglomeration is more like 6 million</w:t>
      </w:r>
      <w:r w:rsidR="00B66F43">
        <w:rPr>
          <w:sz w:val="28"/>
        </w:rPr>
        <w:t xml:space="preserve">, and I see that in their latest revision the UN has finally adopted a more reasonable figure (6.8 million). But they are still underestimating the urban agglomeration for Johor Baru (they give 912,000) and Malaysia’s third largest city - Penang - does not feature in their list at all, despite inclusion of quite a few much smaller </w:t>
      </w:r>
      <w:r w:rsidR="00055BB7">
        <w:rPr>
          <w:sz w:val="28"/>
        </w:rPr>
        <w:t xml:space="preserve">Malaysian </w:t>
      </w:r>
      <w:r w:rsidR="00B66F43">
        <w:rPr>
          <w:sz w:val="28"/>
        </w:rPr>
        <w:t xml:space="preserve">cities. </w:t>
      </w:r>
      <w:r w:rsidR="003734EB">
        <w:rPr>
          <w:sz w:val="28"/>
        </w:rPr>
        <w:t xml:space="preserve">  </w:t>
      </w:r>
    </w:p>
    <w:p w:rsidR="00B66F43" w:rsidRDefault="00B66F43" w:rsidP="00EB4360">
      <w:pPr>
        <w:rPr>
          <w:sz w:val="28"/>
        </w:rPr>
      </w:pPr>
      <w:r>
        <w:rPr>
          <w:sz w:val="28"/>
        </w:rPr>
        <w:t>The UN urban definitions and urban agglomeration definitions have to some extent misled a whole generation of users</w:t>
      </w:r>
      <w:r w:rsidR="00055BB7">
        <w:rPr>
          <w:sz w:val="28"/>
        </w:rPr>
        <w:t xml:space="preserve">. </w:t>
      </w:r>
      <w:r>
        <w:rPr>
          <w:sz w:val="28"/>
        </w:rPr>
        <w:t>I don’t blame the UN Population Division for this. They are short staffed, and besides, they have to accept the data that member countries give them. But it’s a fact that some of the urban agglomeration data has been highly misleading.</w:t>
      </w:r>
    </w:p>
    <w:p w:rsidR="00055BB7" w:rsidRPr="00E127D7" w:rsidRDefault="00055BB7" w:rsidP="00055BB7">
      <w:pPr>
        <w:rPr>
          <w:b/>
          <w:sz w:val="28"/>
        </w:rPr>
      </w:pPr>
      <w:r w:rsidRPr="00E127D7">
        <w:rPr>
          <w:b/>
          <w:sz w:val="28"/>
        </w:rPr>
        <w:t>“The thoroughgoing urbanization of East and Southeast Asia”</w:t>
      </w:r>
    </w:p>
    <w:p w:rsidR="00055BB7" w:rsidRDefault="00055BB7" w:rsidP="00055BB7">
      <w:pPr>
        <w:rPr>
          <w:sz w:val="28"/>
        </w:rPr>
      </w:pPr>
      <w:r>
        <w:rPr>
          <w:sz w:val="28"/>
        </w:rPr>
        <w:t xml:space="preserve">But the main focus of my comments today is on whether the urban-rural dichotomy in Asia is still meaningful, and just how “urban” East and Southeast Asia are. </w:t>
      </w:r>
    </w:p>
    <w:p w:rsidR="00EB4360" w:rsidRDefault="00055BB7" w:rsidP="00EB4360">
      <w:pPr>
        <w:rPr>
          <w:sz w:val="28"/>
        </w:rPr>
      </w:pPr>
      <w:r>
        <w:rPr>
          <w:sz w:val="28"/>
        </w:rPr>
        <w:t xml:space="preserve">The </w:t>
      </w:r>
      <w:r w:rsidR="00EB4360">
        <w:rPr>
          <w:sz w:val="28"/>
        </w:rPr>
        <w:t xml:space="preserve">Champion </w:t>
      </w:r>
      <w:r>
        <w:rPr>
          <w:sz w:val="28"/>
        </w:rPr>
        <w:t xml:space="preserve">and Hugo </w:t>
      </w:r>
      <w:r w:rsidR="00EB4360">
        <w:rPr>
          <w:sz w:val="28"/>
        </w:rPr>
        <w:t xml:space="preserve">book says: </w:t>
      </w:r>
    </w:p>
    <w:p w:rsidR="006841E8" w:rsidRDefault="00C01DC0" w:rsidP="00BA36F2">
      <w:pPr>
        <w:rPr>
          <w:sz w:val="28"/>
        </w:rPr>
      </w:pPr>
      <w:r>
        <w:rPr>
          <w:sz w:val="28"/>
        </w:rPr>
        <w:t>“There is a widespread feeling that the conventional methods of monitoring urbanization and city growth are not portraying the full picture of the changes now affecting individual urban centres and their wider settlement systems, and indeed that they may no longer be capturing the most important dimensions of these changes.”  (p. xx)</w:t>
      </w:r>
      <w:r w:rsidR="00A4488E">
        <w:rPr>
          <w:sz w:val="28"/>
        </w:rPr>
        <w:t xml:space="preserve"> They also noted that “the task of representing the settlement system is being made progressively more difficult by the blurring of urban-rural distinctions, the increasingly multi-dimensional nature of settlement and the emergence of new urban forms” (p. 11)</w:t>
      </w:r>
    </w:p>
    <w:p w:rsidR="00A4488E" w:rsidRDefault="00C85641" w:rsidP="00BA36F2">
      <w:pPr>
        <w:rPr>
          <w:sz w:val="28"/>
        </w:rPr>
      </w:pPr>
      <w:r>
        <w:rPr>
          <w:sz w:val="28"/>
        </w:rPr>
        <w:t>They also noted findings from a NAS study that showed differentials by size of city. “With respect to total fertility rates, for instance, it was found that, while the overall urban rate fell short of the rural one by some 1.4 children per women, the rate for cities with over 5 million inha</w:t>
      </w:r>
      <w:r w:rsidR="00A4488E">
        <w:rPr>
          <w:sz w:val="28"/>
        </w:rPr>
        <w:t>b</w:t>
      </w:r>
      <w:r>
        <w:rPr>
          <w:sz w:val="28"/>
        </w:rPr>
        <w:t xml:space="preserve">itants was almost two children per women below that of urban areas </w:t>
      </w:r>
      <w:r w:rsidR="00A4488E">
        <w:rPr>
          <w:sz w:val="28"/>
        </w:rPr>
        <w:t>with under 100,000 residents. Moreover, there was a regular progression across the five city-size groups recognized.” (p.7)</w:t>
      </w:r>
    </w:p>
    <w:p w:rsidR="00A4488E" w:rsidRDefault="00A4488E" w:rsidP="00BA36F2">
      <w:pPr>
        <w:rPr>
          <w:sz w:val="28"/>
        </w:rPr>
      </w:pPr>
      <w:r>
        <w:rPr>
          <w:sz w:val="28"/>
        </w:rPr>
        <w:lastRenderedPageBreak/>
        <w:t>Another important point they made was that accessibility can also be associated with demographic patterns. They included a table on Australia – Table 1.5, obviously Graeme’s contribution – which showed variation in various fertility and mortality measures between settlements in non-metropolitan Australia grouped by degree of accessibility to facilities.</w:t>
      </w:r>
    </w:p>
    <w:p w:rsidR="00C85641" w:rsidRDefault="00C85641" w:rsidP="00BA36F2">
      <w:pPr>
        <w:rPr>
          <w:sz w:val="28"/>
        </w:rPr>
      </w:pPr>
      <w:r>
        <w:rPr>
          <w:sz w:val="28"/>
        </w:rPr>
        <w:t xml:space="preserve"> When they called together the group of experts at the conference on which the book was based, they posed three fundamental questions that needed to be addressed:</w:t>
      </w:r>
    </w:p>
    <w:p w:rsidR="00C85641" w:rsidRDefault="00C85641" w:rsidP="00C85641">
      <w:pPr>
        <w:pStyle w:val="ListParagraph"/>
        <w:numPr>
          <w:ilvl w:val="0"/>
          <w:numId w:val="1"/>
        </w:numPr>
        <w:rPr>
          <w:sz w:val="28"/>
        </w:rPr>
      </w:pPr>
      <w:r>
        <w:rPr>
          <w:sz w:val="28"/>
        </w:rPr>
        <w:t>Given recent trends, are simple urban-rural classifications of population still adequate for capturing the increasing complexity of the human settlement patterns that now influence people’s lives and behaviour?</w:t>
      </w:r>
    </w:p>
    <w:p w:rsidR="00C85641" w:rsidRDefault="00C85641" w:rsidP="00C85641">
      <w:pPr>
        <w:pStyle w:val="ListParagraph"/>
        <w:numPr>
          <w:ilvl w:val="0"/>
          <w:numId w:val="1"/>
        </w:numPr>
        <w:rPr>
          <w:sz w:val="28"/>
        </w:rPr>
      </w:pPr>
      <w:r>
        <w:rPr>
          <w:sz w:val="28"/>
        </w:rPr>
        <w:t>If not, what are the types of human settlement which need to be differentiated in standard classifications of human settlement systems?</w:t>
      </w:r>
    </w:p>
    <w:p w:rsidR="00C85641" w:rsidRPr="00C85641" w:rsidRDefault="00C85641" w:rsidP="00C85641">
      <w:pPr>
        <w:pStyle w:val="ListParagraph"/>
        <w:numPr>
          <w:ilvl w:val="0"/>
          <w:numId w:val="1"/>
        </w:numPr>
        <w:rPr>
          <w:sz w:val="28"/>
        </w:rPr>
      </w:pPr>
      <w:r>
        <w:rPr>
          <w:sz w:val="28"/>
        </w:rPr>
        <w:t>How can these new concepts of human settlement systems be operationalized and measured in standard data collection systems?</w:t>
      </w:r>
    </w:p>
    <w:p w:rsidR="00470344" w:rsidRDefault="006F316D" w:rsidP="006841E8">
      <w:pPr>
        <w:rPr>
          <w:sz w:val="28"/>
        </w:rPr>
      </w:pPr>
      <w:r>
        <w:rPr>
          <w:sz w:val="28"/>
        </w:rPr>
        <w:t>Their notion of a graduation of many indicators from larger cities to smaller cities, down to small towns and rural areas, struck a chord with me. I had done work in Indonesia the 1980s for the National Urban Development Strategy project, where I looked at the structure of employment in areas defined as rural. What I found very clearly was that the share of non-agricultural activities in rural areas was considerably higher in districts closer to the large cities than in districts further from those cities – in other words, a</w:t>
      </w:r>
      <w:r w:rsidR="00A4488E">
        <w:rPr>
          <w:sz w:val="28"/>
        </w:rPr>
        <w:t xml:space="preserve"> clear distance and accessibility gradation.</w:t>
      </w:r>
      <w:r>
        <w:rPr>
          <w:sz w:val="28"/>
        </w:rPr>
        <w:t xml:space="preserve"> I argued, </w:t>
      </w:r>
    </w:p>
    <w:p w:rsidR="00A4488E" w:rsidRDefault="006F316D" w:rsidP="00470344">
      <w:pPr>
        <w:ind w:left="510" w:right="850"/>
        <w:jc w:val="both"/>
        <w:rPr>
          <w:sz w:val="28"/>
        </w:rPr>
      </w:pPr>
      <w:r w:rsidRPr="00046740">
        <w:rPr>
          <w:sz w:val="24"/>
        </w:rPr>
        <w:t>There may be a number of reasons. One is that some cities had spilled over their boundaries, so some of what was being recorded as rural population was really suburban. Another is that factories and service sector establishments built in rural areas were more likely to be located in areas close to the large cities than in areas further away. Another is that rural dwellers in areas close to the large cities could avail themselves of opportunities to commute to urban jobs.</w:t>
      </w:r>
      <w:r>
        <w:rPr>
          <w:sz w:val="28"/>
        </w:rPr>
        <w:t xml:space="preserve"> </w:t>
      </w:r>
    </w:p>
    <w:p w:rsidR="004D4575" w:rsidRDefault="004D4575" w:rsidP="006841E8">
      <w:pPr>
        <w:rPr>
          <w:sz w:val="28"/>
        </w:rPr>
      </w:pPr>
      <w:r>
        <w:rPr>
          <w:sz w:val="28"/>
        </w:rPr>
        <w:t>It was not only in regard to their employment structure that rural areas closer to large cities more closely resembled the cities</w:t>
      </w:r>
      <w:r w:rsidR="003C3A28">
        <w:rPr>
          <w:sz w:val="28"/>
        </w:rPr>
        <w:t>.</w:t>
      </w:r>
      <w:r>
        <w:rPr>
          <w:sz w:val="28"/>
        </w:rPr>
        <w:t xml:space="preserve"> </w:t>
      </w:r>
      <w:r w:rsidR="003C3A28">
        <w:rPr>
          <w:sz w:val="28"/>
        </w:rPr>
        <w:t>They also score</w:t>
      </w:r>
      <w:r w:rsidR="00055BB7">
        <w:rPr>
          <w:sz w:val="28"/>
        </w:rPr>
        <w:t>d</w:t>
      </w:r>
      <w:r w:rsidR="003C3A28">
        <w:rPr>
          <w:sz w:val="28"/>
        </w:rPr>
        <w:t xml:space="preserve"> better on most indicators. This is consistent with Terry McGee’s theory of desakota regions</w:t>
      </w:r>
      <w:r w:rsidR="00952C9A">
        <w:rPr>
          <w:sz w:val="28"/>
        </w:rPr>
        <w:t xml:space="preserve"> – those very mixed areas, especially on the fringes of large cities, with a complex mix of activities. </w:t>
      </w:r>
    </w:p>
    <w:p w:rsidR="00C1072C" w:rsidRDefault="00055BB7" w:rsidP="006841E8">
      <w:pPr>
        <w:rPr>
          <w:sz w:val="28"/>
        </w:rPr>
      </w:pPr>
      <w:r w:rsidRPr="00C12A28">
        <w:rPr>
          <w:sz w:val="28"/>
        </w:rPr>
        <w:lastRenderedPageBreak/>
        <w:t xml:space="preserve">Tony Champion and Graeme asked me to contribute the chapter on Asia in their book, which I did.  </w:t>
      </w:r>
      <w:r w:rsidR="00C12A28">
        <w:rPr>
          <w:sz w:val="28"/>
        </w:rPr>
        <w:t xml:space="preserve">In the chapter, I touched on some earlier work I had done. </w:t>
      </w:r>
      <w:r w:rsidR="00C1072C">
        <w:rPr>
          <w:sz w:val="28"/>
        </w:rPr>
        <w:t xml:space="preserve">In </w:t>
      </w:r>
      <w:r w:rsidR="004D4575">
        <w:rPr>
          <w:sz w:val="28"/>
        </w:rPr>
        <w:t>1997,</w:t>
      </w:r>
      <w:r w:rsidR="00C1072C">
        <w:rPr>
          <w:sz w:val="28"/>
        </w:rPr>
        <w:t xml:space="preserve"> Gordon Carmichael asked me to contribute a paper to the first issue of the journal </w:t>
      </w:r>
      <w:r w:rsidR="004D4575" w:rsidRPr="004D4575">
        <w:rPr>
          <w:i/>
          <w:sz w:val="28"/>
        </w:rPr>
        <w:t>Asia Pacific Viewpoint</w:t>
      </w:r>
      <w:r w:rsidR="004D4575">
        <w:rPr>
          <w:sz w:val="28"/>
        </w:rPr>
        <w:t>, in a special issue he was editing</w:t>
      </w:r>
      <w:r w:rsidR="00C1072C">
        <w:rPr>
          <w:sz w:val="28"/>
        </w:rPr>
        <w:t xml:space="preserve">. </w:t>
      </w:r>
      <w:r w:rsidR="004D4575">
        <w:rPr>
          <w:sz w:val="28"/>
        </w:rPr>
        <w:t>A</w:t>
      </w:r>
      <w:r w:rsidR="00C1072C">
        <w:rPr>
          <w:sz w:val="28"/>
        </w:rPr>
        <w:t>nd I did, entitling the article “</w:t>
      </w:r>
      <w:r w:rsidR="004D4575">
        <w:rPr>
          <w:sz w:val="28"/>
        </w:rPr>
        <w:t xml:space="preserve">The thoroughgoing urbanization of </w:t>
      </w:r>
      <w:r w:rsidR="003C3A28">
        <w:rPr>
          <w:sz w:val="28"/>
        </w:rPr>
        <w:t xml:space="preserve">East and </w:t>
      </w:r>
      <w:r w:rsidR="004D4575">
        <w:rPr>
          <w:sz w:val="28"/>
        </w:rPr>
        <w:t>Southeast Asia</w:t>
      </w:r>
      <w:r w:rsidR="00C1072C">
        <w:rPr>
          <w:sz w:val="28"/>
        </w:rPr>
        <w:t>”</w:t>
      </w:r>
      <w:r w:rsidR="004D4575">
        <w:rPr>
          <w:sz w:val="28"/>
        </w:rPr>
        <w:t>.</w:t>
      </w:r>
      <w:r w:rsidR="00C1072C">
        <w:rPr>
          <w:sz w:val="28"/>
        </w:rPr>
        <w:t xml:space="preserve"> I</w:t>
      </w:r>
      <w:r w:rsidR="00E127D7">
        <w:rPr>
          <w:sz w:val="28"/>
        </w:rPr>
        <w:t xml:space="preserve"> thought </w:t>
      </w:r>
      <w:r w:rsidR="00C12A28">
        <w:rPr>
          <w:sz w:val="28"/>
        </w:rPr>
        <w:t xml:space="preserve">this paper </w:t>
      </w:r>
      <w:r w:rsidR="00E127D7">
        <w:rPr>
          <w:sz w:val="28"/>
        </w:rPr>
        <w:t xml:space="preserve">had more or less </w:t>
      </w:r>
      <w:r w:rsidR="00C1072C">
        <w:rPr>
          <w:sz w:val="28"/>
        </w:rPr>
        <w:t>disappear</w:t>
      </w:r>
      <w:r w:rsidR="00E127D7">
        <w:rPr>
          <w:sz w:val="28"/>
        </w:rPr>
        <w:t>ed</w:t>
      </w:r>
      <w:r w:rsidR="00C1072C">
        <w:rPr>
          <w:sz w:val="28"/>
        </w:rPr>
        <w:t xml:space="preserve"> without </w:t>
      </w:r>
      <w:r w:rsidR="004D4575">
        <w:rPr>
          <w:sz w:val="28"/>
        </w:rPr>
        <w:t xml:space="preserve">a </w:t>
      </w:r>
      <w:r w:rsidR="00C1072C">
        <w:rPr>
          <w:sz w:val="28"/>
        </w:rPr>
        <w:t xml:space="preserve">trace, but </w:t>
      </w:r>
      <w:r w:rsidR="00E127D7">
        <w:rPr>
          <w:sz w:val="28"/>
        </w:rPr>
        <w:t xml:space="preserve">I was surprised </w:t>
      </w:r>
      <w:r w:rsidR="00C1072C">
        <w:rPr>
          <w:sz w:val="28"/>
        </w:rPr>
        <w:t xml:space="preserve">last year </w:t>
      </w:r>
      <w:r w:rsidR="00E127D7">
        <w:rPr>
          <w:sz w:val="28"/>
        </w:rPr>
        <w:t xml:space="preserve">when </w:t>
      </w:r>
      <w:r w:rsidR="00C1072C">
        <w:rPr>
          <w:sz w:val="28"/>
        </w:rPr>
        <w:t xml:space="preserve">a leading urban geographer at the National University of Singapore, Tim Bunnell, told me he </w:t>
      </w:r>
      <w:r w:rsidR="00C12A28">
        <w:rPr>
          <w:sz w:val="28"/>
        </w:rPr>
        <w:t xml:space="preserve">had always </w:t>
      </w:r>
      <w:r w:rsidR="00C1072C">
        <w:rPr>
          <w:sz w:val="28"/>
        </w:rPr>
        <w:t xml:space="preserve">thought this article was very important, and he invited me to come back to Singapore for a round table discussion with </w:t>
      </w:r>
      <w:r w:rsidR="004D4575">
        <w:rPr>
          <w:sz w:val="28"/>
        </w:rPr>
        <w:t xml:space="preserve">Neil Brenner, Professor of Urban theory at Harvard, </w:t>
      </w:r>
      <w:r w:rsidR="00C1072C">
        <w:rPr>
          <w:sz w:val="28"/>
        </w:rPr>
        <w:t xml:space="preserve">who is prominent in the field of </w:t>
      </w:r>
      <w:r w:rsidR="00E127D7">
        <w:rPr>
          <w:sz w:val="28"/>
        </w:rPr>
        <w:t>“</w:t>
      </w:r>
      <w:r w:rsidR="004D4575">
        <w:rPr>
          <w:sz w:val="28"/>
        </w:rPr>
        <w:t>planetary urbanization</w:t>
      </w:r>
      <w:r w:rsidR="00E127D7">
        <w:rPr>
          <w:sz w:val="28"/>
        </w:rPr>
        <w:t>”</w:t>
      </w:r>
      <w:r w:rsidR="004D4575">
        <w:rPr>
          <w:sz w:val="28"/>
        </w:rPr>
        <w:t xml:space="preserve">. </w:t>
      </w:r>
      <w:r w:rsidR="00C1072C">
        <w:rPr>
          <w:sz w:val="28"/>
        </w:rPr>
        <w:t xml:space="preserve">  </w:t>
      </w:r>
    </w:p>
    <w:p w:rsidR="00594641" w:rsidRPr="00D2060E" w:rsidRDefault="003C3A28" w:rsidP="00D2060E">
      <w:pPr>
        <w:rPr>
          <w:sz w:val="28"/>
        </w:rPr>
      </w:pPr>
      <w:r w:rsidRPr="00D2060E">
        <w:rPr>
          <w:sz w:val="28"/>
        </w:rPr>
        <w:t xml:space="preserve">That was an interesting discussion. I learned a lot about the theory of planetary urbanization, which has taken off from key works by Henri Lefebvre and David Harvey – “urbanization theory without an outside”. </w:t>
      </w:r>
      <w:r w:rsidR="00C12A28">
        <w:rPr>
          <w:sz w:val="28"/>
        </w:rPr>
        <w:t xml:space="preserve">I found it quite hard to get my head around this material. </w:t>
      </w:r>
      <w:r w:rsidRPr="00D2060E">
        <w:rPr>
          <w:sz w:val="28"/>
        </w:rPr>
        <w:t xml:space="preserve">As Neil Brenner puts it, this approach “casts doubt on established understandings of the urban as a bounded, nodal and relatively self-enclosed socio-spatial condition in favour of more territorially differentiated, morphologically variable, multiscalar and processual conceptualizations”. </w:t>
      </w:r>
      <w:r w:rsidR="00E127D7">
        <w:rPr>
          <w:sz w:val="28"/>
        </w:rPr>
        <w:t xml:space="preserve">Quite a mouthful! </w:t>
      </w:r>
      <w:r w:rsidRPr="00D2060E">
        <w:rPr>
          <w:sz w:val="28"/>
        </w:rPr>
        <w:t xml:space="preserve">My own approach to “thoroughgoing urbanization” was much </w:t>
      </w:r>
      <w:r w:rsidR="00594641" w:rsidRPr="00D2060E">
        <w:rPr>
          <w:sz w:val="28"/>
        </w:rPr>
        <w:t xml:space="preserve">less theorized, focusing rather on aspects of the objective life conditions of those living in areas classified as urban and rural. </w:t>
      </w:r>
    </w:p>
    <w:p w:rsidR="00594641" w:rsidRPr="00D2060E" w:rsidRDefault="00594641" w:rsidP="00D2060E">
      <w:pPr>
        <w:rPr>
          <w:sz w:val="28"/>
        </w:rPr>
      </w:pPr>
      <w:r w:rsidRPr="00D2060E">
        <w:rPr>
          <w:sz w:val="28"/>
        </w:rPr>
        <w:t xml:space="preserve">My key point really was that it is now very difficult in Asia to find rural dwellers who are essentially cut off from urban ways of life, urban ways of making a living, urban facilities like schools, health services, transportation, and – above all - communications facilities.   </w:t>
      </w:r>
    </w:p>
    <w:p w:rsidR="00594641" w:rsidRPr="00D2060E" w:rsidRDefault="00594641" w:rsidP="00D2060E">
      <w:pPr>
        <w:rPr>
          <w:sz w:val="28"/>
        </w:rPr>
      </w:pPr>
      <w:r w:rsidRPr="00D2060E">
        <w:rPr>
          <w:sz w:val="28"/>
        </w:rPr>
        <w:t xml:space="preserve">Let me just give you some statistics to illustrate the point. </w:t>
      </w:r>
    </w:p>
    <w:p w:rsidR="00594641" w:rsidRDefault="00594641" w:rsidP="00594641">
      <w:pPr>
        <w:pStyle w:val="ListParagraph"/>
        <w:numPr>
          <w:ilvl w:val="0"/>
          <w:numId w:val="2"/>
        </w:numPr>
        <w:rPr>
          <w:sz w:val="28"/>
        </w:rPr>
      </w:pPr>
      <w:r>
        <w:rPr>
          <w:sz w:val="28"/>
        </w:rPr>
        <w:t xml:space="preserve">The </w:t>
      </w:r>
      <w:r w:rsidR="00C12A28">
        <w:rPr>
          <w:sz w:val="28"/>
        </w:rPr>
        <w:t>number</w:t>
      </w:r>
      <w:r>
        <w:rPr>
          <w:sz w:val="28"/>
        </w:rPr>
        <w:t xml:space="preserve"> of Indian villages with access to electricity grew from less than 5% in the 1940s to 84% in 1992</w:t>
      </w:r>
    </w:p>
    <w:p w:rsidR="00C12A28" w:rsidRDefault="00594641" w:rsidP="00594641">
      <w:pPr>
        <w:pStyle w:val="ListParagraph"/>
        <w:numPr>
          <w:ilvl w:val="0"/>
          <w:numId w:val="2"/>
        </w:numPr>
        <w:rPr>
          <w:sz w:val="28"/>
        </w:rPr>
      </w:pPr>
      <w:r>
        <w:rPr>
          <w:sz w:val="28"/>
        </w:rPr>
        <w:t>In Bangladesh there are 7 mobile phones to every 10 people</w:t>
      </w:r>
      <w:r w:rsidR="00C12A28">
        <w:rPr>
          <w:sz w:val="28"/>
        </w:rPr>
        <w:t>.</w:t>
      </w:r>
      <w:r>
        <w:rPr>
          <w:sz w:val="28"/>
        </w:rPr>
        <w:t xml:space="preserve"> Given that children under 15 are about 30% of the population (but some people have more than one mobile phone), this figure suggests almost universal coverage of mobile phones in Bangladesh, one of the poorest countries in Asia. </w:t>
      </w:r>
    </w:p>
    <w:p w:rsidR="00594641" w:rsidRDefault="00594641" w:rsidP="00594641">
      <w:pPr>
        <w:pStyle w:val="ListParagraph"/>
        <w:numPr>
          <w:ilvl w:val="0"/>
          <w:numId w:val="2"/>
        </w:numPr>
        <w:rPr>
          <w:sz w:val="28"/>
        </w:rPr>
      </w:pPr>
      <w:r>
        <w:rPr>
          <w:sz w:val="28"/>
        </w:rPr>
        <w:t xml:space="preserve">In Laos, only 13% of households don’t own a communication device. Only in the most remote rural areas (without road) is the proportion not owning </w:t>
      </w:r>
      <w:r w:rsidR="00D2060E">
        <w:rPr>
          <w:sz w:val="28"/>
        </w:rPr>
        <w:t xml:space="preserve">one </w:t>
      </w:r>
      <w:r>
        <w:rPr>
          <w:sz w:val="28"/>
        </w:rPr>
        <w:t>substantial – 40%.</w:t>
      </w:r>
    </w:p>
    <w:p w:rsidR="00D2060E" w:rsidRDefault="00D2060E" w:rsidP="00D2060E">
      <w:pPr>
        <w:rPr>
          <w:sz w:val="28"/>
        </w:rPr>
      </w:pPr>
      <w:r>
        <w:rPr>
          <w:sz w:val="28"/>
        </w:rPr>
        <w:lastRenderedPageBreak/>
        <w:t xml:space="preserve">So basically, my point is that even more isolated rural dwellers nowadays enjoy facilities that even wealthy urban dwellers could not hope to enjoy not so long ago. </w:t>
      </w:r>
    </w:p>
    <w:p w:rsidR="00D2060E" w:rsidRDefault="00D2060E" w:rsidP="00D2060E">
      <w:pPr>
        <w:rPr>
          <w:sz w:val="28"/>
        </w:rPr>
      </w:pPr>
      <w:r>
        <w:rPr>
          <w:sz w:val="28"/>
        </w:rPr>
        <w:t>It</w:t>
      </w:r>
      <w:r w:rsidR="00C12A28">
        <w:rPr>
          <w:sz w:val="28"/>
        </w:rPr>
        <w:t xml:space="preserve"> brings to mind </w:t>
      </w:r>
      <w:r>
        <w:rPr>
          <w:sz w:val="28"/>
        </w:rPr>
        <w:t xml:space="preserve">the point sometimes made about historical change – when the Emperor Louis XIV had a toothache, he </w:t>
      </w:r>
      <w:r w:rsidR="00952C9A">
        <w:rPr>
          <w:sz w:val="28"/>
        </w:rPr>
        <w:t xml:space="preserve">probably </w:t>
      </w:r>
      <w:r>
        <w:rPr>
          <w:sz w:val="28"/>
        </w:rPr>
        <w:t>would have been willing to give up a substantial part of his vast wealth for access to the modern dentistry that even lower middle class people can enjoy</w:t>
      </w:r>
      <w:r w:rsidR="00C12A28">
        <w:rPr>
          <w:sz w:val="28"/>
        </w:rPr>
        <w:t xml:space="preserve"> nowadays</w:t>
      </w:r>
      <w:r>
        <w:rPr>
          <w:sz w:val="28"/>
        </w:rPr>
        <w:t xml:space="preserve">.    </w:t>
      </w:r>
    </w:p>
    <w:p w:rsidR="00E127D7" w:rsidRDefault="00E127D7" w:rsidP="00D2060E">
      <w:pPr>
        <w:rPr>
          <w:sz w:val="28"/>
        </w:rPr>
      </w:pPr>
      <w:r>
        <w:rPr>
          <w:sz w:val="28"/>
        </w:rPr>
        <w:t xml:space="preserve">But coming back to the third question that Tony Champion and Graeme Hugo raised: </w:t>
      </w:r>
    </w:p>
    <w:p w:rsidR="00E127D7" w:rsidRPr="00C85641" w:rsidRDefault="00E127D7" w:rsidP="00E127D7">
      <w:pPr>
        <w:pStyle w:val="ListParagraph"/>
        <w:numPr>
          <w:ilvl w:val="0"/>
          <w:numId w:val="1"/>
        </w:numPr>
        <w:rPr>
          <w:sz w:val="28"/>
        </w:rPr>
      </w:pPr>
      <w:r>
        <w:rPr>
          <w:sz w:val="28"/>
        </w:rPr>
        <w:t>How can these new concepts of human settlement systems be operationalized and measured in standard data collection systems?</w:t>
      </w:r>
    </w:p>
    <w:p w:rsidR="00E127D7" w:rsidRPr="00D2060E" w:rsidRDefault="00E127D7" w:rsidP="00D2060E">
      <w:pPr>
        <w:rPr>
          <w:sz w:val="28"/>
        </w:rPr>
      </w:pPr>
      <w:r>
        <w:rPr>
          <w:sz w:val="28"/>
        </w:rPr>
        <w:t xml:space="preserve">This is the tough one to deal with. </w:t>
      </w:r>
      <w:r w:rsidR="00323207">
        <w:rPr>
          <w:sz w:val="28"/>
        </w:rPr>
        <w:t xml:space="preserve">Interestingly, in Laos, where I have recently been doing some work, they present their statistics in a 3-way format. </w:t>
      </w:r>
      <w:r w:rsidR="00952C9A">
        <w:rPr>
          <w:sz w:val="28"/>
        </w:rPr>
        <w:t xml:space="preserve"> </w:t>
      </w:r>
      <w:r w:rsidR="00323207">
        <w:rPr>
          <w:sz w:val="28"/>
        </w:rPr>
        <w:t>See the table below.</w:t>
      </w:r>
    </w:p>
    <w:p w:rsidR="00594641" w:rsidRPr="00594641" w:rsidRDefault="00594641" w:rsidP="00594641">
      <w:pPr>
        <w:ind w:left="360"/>
        <w:rPr>
          <w:sz w:val="28"/>
        </w:rPr>
      </w:pPr>
    </w:p>
    <w:p w:rsidR="00890706" w:rsidRDefault="00890706" w:rsidP="00890706">
      <w:pPr>
        <w:jc w:val="center"/>
        <w:rPr>
          <w:b/>
        </w:rPr>
      </w:pPr>
      <w:r w:rsidRPr="00B401B4">
        <w:rPr>
          <w:b/>
        </w:rPr>
        <w:t>L</w:t>
      </w:r>
      <w:r>
        <w:rPr>
          <w:b/>
        </w:rPr>
        <w:t xml:space="preserve">AO </w:t>
      </w:r>
      <w:r w:rsidRPr="00B401B4">
        <w:rPr>
          <w:b/>
        </w:rPr>
        <w:t xml:space="preserve">PDR – </w:t>
      </w:r>
      <w:r>
        <w:rPr>
          <w:b/>
        </w:rPr>
        <w:t>SOME INDICATORS, ACCORDING TO PLACE OF RESIDENCE</w:t>
      </w:r>
    </w:p>
    <w:tbl>
      <w:tblPr>
        <w:tblStyle w:val="TableGrid"/>
        <w:tblW w:w="9129" w:type="dxa"/>
        <w:tblLook w:val="04A0" w:firstRow="1" w:lastRow="0" w:firstColumn="1" w:lastColumn="0" w:noHBand="0" w:noVBand="1"/>
      </w:tblPr>
      <w:tblGrid>
        <w:gridCol w:w="3256"/>
        <w:gridCol w:w="1275"/>
        <w:gridCol w:w="1418"/>
        <w:gridCol w:w="1843"/>
        <w:gridCol w:w="1337"/>
      </w:tblGrid>
      <w:tr w:rsidR="00890706" w:rsidTr="004C39CE">
        <w:tc>
          <w:tcPr>
            <w:tcW w:w="3256" w:type="dxa"/>
          </w:tcPr>
          <w:p w:rsidR="00890706" w:rsidRDefault="00890706" w:rsidP="004C39CE">
            <w:pPr>
              <w:rPr>
                <w:b/>
              </w:rPr>
            </w:pPr>
            <w:r>
              <w:rPr>
                <w:b/>
              </w:rPr>
              <w:t>INDICATOR</w:t>
            </w:r>
          </w:p>
        </w:tc>
        <w:tc>
          <w:tcPr>
            <w:tcW w:w="1275" w:type="dxa"/>
          </w:tcPr>
          <w:p w:rsidR="00890706" w:rsidRDefault="00890706" w:rsidP="004C39CE">
            <w:pPr>
              <w:jc w:val="center"/>
              <w:rPr>
                <w:b/>
              </w:rPr>
            </w:pPr>
            <w:r>
              <w:rPr>
                <w:b/>
              </w:rPr>
              <w:t>URBAN</w:t>
            </w:r>
          </w:p>
        </w:tc>
        <w:tc>
          <w:tcPr>
            <w:tcW w:w="1418" w:type="dxa"/>
          </w:tcPr>
          <w:p w:rsidR="00890706" w:rsidRDefault="00890706" w:rsidP="004C39CE">
            <w:pPr>
              <w:jc w:val="center"/>
              <w:rPr>
                <w:b/>
              </w:rPr>
            </w:pPr>
            <w:r>
              <w:rPr>
                <w:b/>
              </w:rPr>
              <w:t>RURAL WITH ROAD</w:t>
            </w:r>
          </w:p>
        </w:tc>
        <w:tc>
          <w:tcPr>
            <w:tcW w:w="1843" w:type="dxa"/>
          </w:tcPr>
          <w:p w:rsidR="00890706" w:rsidRDefault="00890706" w:rsidP="004C39CE">
            <w:pPr>
              <w:jc w:val="center"/>
              <w:rPr>
                <w:b/>
              </w:rPr>
            </w:pPr>
            <w:r>
              <w:rPr>
                <w:b/>
              </w:rPr>
              <w:t>RURAL WITHOUT ROAD</w:t>
            </w:r>
          </w:p>
        </w:tc>
        <w:tc>
          <w:tcPr>
            <w:tcW w:w="1337" w:type="dxa"/>
          </w:tcPr>
          <w:p w:rsidR="00890706" w:rsidRDefault="00890706" w:rsidP="004C39CE">
            <w:pPr>
              <w:jc w:val="center"/>
              <w:rPr>
                <w:b/>
              </w:rPr>
            </w:pPr>
            <w:r>
              <w:rPr>
                <w:b/>
              </w:rPr>
              <w:t>ALL AREAS</w:t>
            </w:r>
          </w:p>
        </w:tc>
      </w:tr>
      <w:tr w:rsidR="00890706" w:rsidTr="004C39CE">
        <w:tc>
          <w:tcPr>
            <w:tcW w:w="3256" w:type="dxa"/>
          </w:tcPr>
          <w:p w:rsidR="00890706" w:rsidRDefault="00890706" w:rsidP="004C39CE">
            <w:pPr>
              <w:rPr>
                <w:b/>
              </w:rPr>
            </w:pPr>
            <w:r>
              <w:rPr>
                <w:b/>
              </w:rPr>
              <w:t>Distribution of population (2005)</w:t>
            </w:r>
          </w:p>
        </w:tc>
        <w:tc>
          <w:tcPr>
            <w:tcW w:w="1275" w:type="dxa"/>
          </w:tcPr>
          <w:p w:rsidR="00890706" w:rsidRPr="00942174" w:rsidRDefault="00890706" w:rsidP="004C39CE">
            <w:pPr>
              <w:jc w:val="center"/>
            </w:pPr>
            <w:r w:rsidRPr="00942174">
              <w:t>27%</w:t>
            </w:r>
          </w:p>
        </w:tc>
        <w:tc>
          <w:tcPr>
            <w:tcW w:w="1418" w:type="dxa"/>
          </w:tcPr>
          <w:p w:rsidR="00890706" w:rsidRPr="00942174" w:rsidRDefault="00890706" w:rsidP="004C39CE">
            <w:pPr>
              <w:jc w:val="center"/>
            </w:pPr>
            <w:r w:rsidRPr="00942174">
              <w:t>51%</w:t>
            </w:r>
          </w:p>
        </w:tc>
        <w:tc>
          <w:tcPr>
            <w:tcW w:w="1843" w:type="dxa"/>
          </w:tcPr>
          <w:p w:rsidR="00890706" w:rsidRPr="00942174" w:rsidRDefault="00890706" w:rsidP="004C39CE">
            <w:pPr>
              <w:jc w:val="center"/>
            </w:pPr>
            <w:r w:rsidRPr="00942174">
              <w:t>21%</w:t>
            </w:r>
          </w:p>
        </w:tc>
        <w:tc>
          <w:tcPr>
            <w:tcW w:w="1337" w:type="dxa"/>
          </w:tcPr>
          <w:p w:rsidR="00890706" w:rsidRPr="00942174" w:rsidRDefault="00890706" w:rsidP="004C39CE">
            <w:pPr>
              <w:jc w:val="center"/>
            </w:pPr>
            <w:r w:rsidRPr="00942174">
              <w:t>100%</w:t>
            </w:r>
          </w:p>
        </w:tc>
      </w:tr>
      <w:tr w:rsidR="00890706" w:rsidTr="004C39CE">
        <w:tc>
          <w:tcPr>
            <w:tcW w:w="3256" w:type="dxa"/>
          </w:tcPr>
          <w:p w:rsidR="00890706" w:rsidRDefault="00890706" w:rsidP="004C39CE">
            <w:pPr>
              <w:rPr>
                <w:b/>
              </w:rPr>
            </w:pPr>
            <w:r>
              <w:rPr>
                <w:b/>
              </w:rPr>
              <w:t>Incidence of poverty</w:t>
            </w:r>
          </w:p>
        </w:tc>
        <w:tc>
          <w:tcPr>
            <w:tcW w:w="1275" w:type="dxa"/>
          </w:tcPr>
          <w:p w:rsidR="00890706" w:rsidRPr="00942174" w:rsidRDefault="00890706" w:rsidP="004C39CE">
            <w:pPr>
              <w:jc w:val="center"/>
            </w:pPr>
            <w:r w:rsidRPr="00942174">
              <w:t>17%</w:t>
            </w:r>
          </w:p>
        </w:tc>
        <w:tc>
          <w:tcPr>
            <w:tcW w:w="1418" w:type="dxa"/>
          </w:tcPr>
          <w:p w:rsidR="00890706" w:rsidRPr="00942174" w:rsidRDefault="00890706" w:rsidP="004C39CE">
            <w:pPr>
              <w:jc w:val="center"/>
            </w:pPr>
            <w:r w:rsidRPr="00942174">
              <w:t>30%</w:t>
            </w:r>
          </w:p>
        </w:tc>
        <w:tc>
          <w:tcPr>
            <w:tcW w:w="1843" w:type="dxa"/>
          </w:tcPr>
          <w:p w:rsidR="00890706" w:rsidRPr="00942174" w:rsidRDefault="00890706" w:rsidP="004C39CE">
            <w:pPr>
              <w:jc w:val="center"/>
            </w:pPr>
            <w:r w:rsidRPr="00942174">
              <w:t>43%</w:t>
            </w:r>
          </w:p>
        </w:tc>
        <w:tc>
          <w:tcPr>
            <w:tcW w:w="1337" w:type="dxa"/>
          </w:tcPr>
          <w:p w:rsidR="00890706" w:rsidRPr="00942174" w:rsidRDefault="00890706" w:rsidP="004C39CE">
            <w:pPr>
              <w:jc w:val="center"/>
            </w:pPr>
            <w:r w:rsidRPr="00942174">
              <w:t>28%</w:t>
            </w:r>
          </w:p>
        </w:tc>
      </w:tr>
      <w:tr w:rsidR="00890706" w:rsidTr="004C39CE">
        <w:tc>
          <w:tcPr>
            <w:tcW w:w="3256" w:type="dxa"/>
          </w:tcPr>
          <w:p w:rsidR="00890706" w:rsidRDefault="00890706" w:rsidP="004C39CE">
            <w:pPr>
              <w:rPr>
                <w:b/>
              </w:rPr>
            </w:pPr>
            <w:r>
              <w:rPr>
                <w:b/>
              </w:rPr>
              <w:t>Don’t own a communication device (2010)</w:t>
            </w:r>
          </w:p>
        </w:tc>
        <w:tc>
          <w:tcPr>
            <w:tcW w:w="1275" w:type="dxa"/>
          </w:tcPr>
          <w:p w:rsidR="00890706" w:rsidRPr="00942174" w:rsidRDefault="00890706" w:rsidP="004C39CE">
            <w:pPr>
              <w:jc w:val="center"/>
            </w:pPr>
            <w:r w:rsidRPr="00942174">
              <w:t>2%</w:t>
            </w:r>
          </w:p>
        </w:tc>
        <w:tc>
          <w:tcPr>
            <w:tcW w:w="1418" w:type="dxa"/>
          </w:tcPr>
          <w:p w:rsidR="00890706" w:rsidRPr="00942174" w:rsidRDefault="00890706" w:rsidP="004C39CE">
            <w:pPr>
              <w:jc w:val="center"/>
            </w:pPr>
            <w:r w:rsidRPr="00942174">
              <w:t>15%</w:t>
            </w:r>
          </w:p>
        </w:tc>
        <w:tc>
          <w:tcPr>
            <w:tcW w:w="1843" w:type="dxa"/>
          </w:tcPr>
          <w:p w:rsidR="00890706" w:rsidRPr="00942174" w:rsidRDefault="00890706" w:rsidP="004C39CE">
            <w:pPr>
              <w:jc w:val="center"/>
            </w:pPr>
            <w:r w:rsidRPr="00942174">
              <w:t>40%</w:t>
            </w:r>
          </w:p>
        </w:tc>
        <w:tc>
          <w:tcPr>
            <w:tcW w:w="1337" w:type="dxa"/>
          </w:tcPr>
          <w:p w:rsidR="00890706" w:rsidRPr="00942174" w:rsidRDefault="00890706" w:rsidP="004C39CE">
            <w:pPr>
              <w:jc w:val="center"/>
            </w:pPr>
            <w:r w:rsidRPr="00942174">
              <w:t>13%</w:t>
            </w:r>
          </w:p>
        </w:tc>
      </w:tr>
      <w:tr w:rsidR="00890706" w:rsidTr="004C39CE">
        <w:tc>
          <w:tcPr>
            <w:tcW w:w="3256" w:type="dxa"/>
          </w:tcPr>
          <w:p w:rsidR="00890706" w:rsidRDefault="00890706" w:rsidP="004C39CE">
            <w:pPr>
              <w:rPr>
                <w:b/>
              </w:rPr>
            </w:pPr>
            <w:r>
              <w:rPr>
                <w:b/>
              </w:rPr>
              <w:t>No electricity</w:t>
            </w:r>
          </w:p>
        </w:tc>
        <w:tc>
          <w:tcPr>
            <w:tcW w:w="1275" w:type="dxa"/>
          </w:tcPr>
          <w:p w:rsidR="00890706" w:rsidRPr="00942174" w:rsidRDefault="00890706" w:rsidP="004C39CE">
            <w:pPr>
              <w:jc w:val="center"/>
            </w:pPr>
            <w:r>
              <w:t>6%</w:t>
            </w:r>
          </w:p>
        </w:tc>
        <w:tc>
          <w:tcPr>
            <w:tcW w:w="1418" w:type="dxa"/>
          </w:tcPr>
          <w:p w:rsidR="00890706" w:rsidRPr="00942174" w:rsidRDefault="00890706" w:rsidP="004C39CE">
            <w:pPr>
              <w:jc w:val="center"/>
            </w:pPr>
            <w:r>
              <w:t>47%</w:t>
            </w:r>
          </w:p>
        </w:tc>
        <w:tc>
          <w:tcPr>
            <w:tcW w:w="1843" w:type="dxa"/>
          </w:tcPr>
          <w:p w:rsidR="00890706" w:rsidRPr="00942174" w:rsidRDefault="00890706" w:rsidP="004C39CE">
            <w:pPr>
              <w:jc w:val="center"/>
            </w:pPr>
            <w:r>
              <w:t>75%</w:t>
            </w:r>
          </w:p>
        </w:tc>
        <w:tc>
          <w:tcPr>
            <w:tcW w:w="1337" w:type="dxa"/>
          </w:tcPr>
          <w:p w:rsidR="00890706" w:rsidRPr="00942174" w:rsidRDefault="00890706" w:rsidP="004C39CE">
            <w:pPr>
              <w:jc w:val="center"/>
            </w:pPr>
            <w:r>
              <w:t>42%</w:t>
            </w:r>
          </w:p>
        </w:tc>
      </w:tr>
      <w:tr w:rsidR="00890706" w:rsidTr="004C39CE">
        <w:tc>
          <w:tcPr>
            <w:tcW w:w="3256" w:type="dxa"/>
          </w:tcPr>
          <w:p w:rsidR="00890706" w:rsidRDefault="00890706" w:rsidP="004C39CE">
            <w:pPr>
              <w:rPr>
                <w:b/>
              </w:rPr>
            </w:pPr>
            <w:r>
              <w:rPr>
                <w:b/>
              </w:rPr>
              <w:t>Population 6+ never been to school</w:t>
            </w:r>
          </w:p>
        </w:tc>
        <w:tc>
          <w:tcPr>
            <w:tcW w:w="1275" w:type="dxa"/>
          </w:tcPr>
          <w:p w:rsidR="00890706" w:rsidRPr="00942174" w:rsidRDefault="00890706" w:rsidP="004C39CE">
            <w:pPr>
              <w:jc w:val="center"/>
            </w:pPr>
            <w:r w:rsidRPr="00942174">
              <w:t>8%</w:t>
            </w:r>
          </w:p>
        </w:tc>
        <w:tc>
          <w:tcPr>
            <w:tcW w:w="1418" w:type="dxa"/>
          </w:tcPr>
          <w:p w:rsidR="00890706" w:rsidRPr="00942174" w:rsidRDefault="00890706" w:rsidP="004C39CE">
            <w:pPr>
              <w:jc w:val="center"/>
            </w:pPr>
            <w:r w:rsidRPr="00942174">
              <w:t>25%</w:t>
            </w:r>
          </w:p>
        </w:tc>
        <w:tc>
          <w:tcPr>
            <w:tcW w:w="1843" w:type="dxa"/>
          </w:tcPr>
          <w:p w:rsidR="00890706" w:rsidRPr="00942174" w:rsidRDefault="00890706" w:rsidP="004C39CE">
            <w:pPr>
              <w:jc w:val="center"/>
            </w:pPr>
            <w:r w:rsidRPr="00942174">
              <w:t>40%</w:t>
            </w:r>
          </w:p>
        </w:tc>
        <w:tc>
          <w:tcPr>
            <w:tcW w:w="1337" w:type="dxa"/>
          </w:tcPr>
          <w:p w:rsidR="00890706" w:rsidRPr="00942174" w:rsidRDefault="00890706" w:rsidP="004C39CE">
            <w:pPr>
              <w:jc w:val="center"/>
            </w:pPr>
            <w:r w:rsidRPr="00942174">
              <w:t>28%</w:t>
            </w:r>
          </w:p>
        </w:tc>
      </w:tr>
      <w:tr w:rsidR="00890706" w:rsidTr="004C39CE">
        <w:tc>
          <w:tcPr>
            <w:tcW w:w="3256" w:type="dxa"/>
          </w:tcPr>
          <w:p w:rsidR="00890706" w:rsidRDefault="00890706" w:rsidP="004C39CE">
            <w:pPr>
              <w:rPr>
                <w:b/>
              </w:rPr>
            </w:pPr>
            <w:r>
              <w:rPr>
                <w:b/>
              </w:rPr>
              <w:t>Literacy rate population 15+ (2005)</w:t>
            </w:r>
          </w:p>
        </w:tc>
        <w:tc>
          <w:tcPr>
            <w:tcW w:w="1275" w:type="dxa"/>
          </w:tcPr>
          <w:p w:rsidR="00890706" w:rsidRPr="00942174" w:rsidRDefault="00890706" w:rsidP="004C39CE">
            <w:pPr>
              <w:jc w:val="center"/>
            </w:pPr>
            <w:r w:rsidRPr="00942174">
              <w:t>89%</w:t>
            </w:r>
          </w:p>
        </w:tc>
        <w:tc>
          <w:tcPr>
            <w:tcW w:w="1418" w:type="dxa"/>
          </w:tcPr>
          <w:p w:rsidR="00890706" w:rsidRPr="00942174" w:rsidRDefault="00890706" w:rsidP="004C39CE">
            <w:pPr>
              <w:jc w:val="center"/>
            </w:pPr>
            <w:r w:rsidRPr="00942174">
              <w:t>70%</w:t>
            </w:r>
          </w:p>
        </w:tc>
        <w:tc>
          <w:tcPr>
            <w:tcW w:w="1843" w:type="dxa"/>
          </w:tcPr>
          <w:p w:rsidR="00890706" w:rsidRPr="00942174" w:rsidRDefault="00890706" w:rsidP="004C39CE">
            <w:pPr>
              <w:jc w:val="center"/>
            </w:pPr>
            <w:r w:rsidRPr="00942174">
              <w:t>54%</w:t>
            </w:r>
          </w:p>
        </w:tc>
        <w:tc>
          <w:tcPr>
            <w:tcW w:w="1337" w:type="dxa"/>
          </w:tcPr>
          <w:p w:rsidR="00890706" w:rsidRPr="00942174" w:rsidRDefault="00890706" w:rsidP="004C39CE">
            <w:pPr>
              <w:jc w:val="center"/>
            </w:pPr>
            <w:r w:rsidRPr="00942174">
              <w:t>73%</w:t>
            </w:r>
          </w:p>
        </w:tc>
      </w:tr>
      <w:tr w:rsidR="00890706" w:rsidTr="004C39CE">
        <w:tc>
          <w:tcPr>
            <w:tcW w:w="3256" w:type="dxa"/>
          </w:tcPr>
          <w:p w:rsidR="00890706" w:rsidRDefault="00890706" w:rsidP="004C39CE">
            <w:pPr>
              <w:rPr>
                <w:b/>
              </w:rPr>
            </w:pPr>
            <w:r>
              <w:rPr>
                <w:b/>
              </w:rPr>
              <w:t>Women aged 20-24 who had a live birth before age 18</w:t>
            </w:r>
          </w:p>
        </w:tc>
        <w:tc>
          <w:tcPr>
            <w:tcW w:w="1275" w:type="dxa"/>
          </w:tcPr>
          <w:p w:rsidR="00890706" w:rsidRPr="00942174" w:rsidRDefault="00890706" w:rsidP="004C39CE">
            <w:pPr>
              <w:jc w:val="center"/>
            </w:pPr>
            <w:r>
              <w:t>6%</w:t>
            </w:r>
          </w:p>
        </w:tc>
        <w:tc>
          <w:tcPr>
            <w:tcW w:w="1418" w:type="dxa"/>
          </w:tcPr>
          <w:p w:rsidR="00890706" w:rsidRPr="00942174" w:rsidRDefault="00890706" w:rsidP="004C39CE">
            <w:pPr>
              <w:jc w:val="center"/>
            </w:pPr>
            <w:r>
              <w:t>23%</w:t>
            </w:r>
          </w:p>
        </w:tc>
        <w:tc>
          <w:tcPr>
            <w:tcW w:w="1843" w:type="dxa"/>
          </w:tcPr>
          <w:p w:rsidR="00890706" w:rsidRPr="00942174" w:rsidRDefault="00890706" w:rsidP="004C39CE">
            <w:pPr>
              <w:jc w:val="center"/>
            </w:pPr>
            <w:r>
              <w:t>34%</w:t>
            </w:r>
          </w:p>
        </w:tc>
        <w:tc>
          <w:tcPr>
            <w:tcW w:w="1337" w:type="dxa"/>
          </w:tcPr>
          <w:p w:rsidR="00890706" w:rsidRPr="00942174" w:rsidRDefault="00890706" w:rsidP="004C39CE">
            <w:pPr>
              <w:jc w:val="center"/>
            </w:pPr>
            <w:r>
              <w:t>18%</w:t>
            </w:r>
          </w:p>
        </w:tc>
      </w:tr>
      <w:tr w:rsidR="00890706" w:rsidTr="004C39CE">
        <w:tc>
          <w:tcPr>
            <w:tcW w:w="3256" w:type="dxa"/>
          </w:tcPr>
          <w:p w:rsidR="00890706" w:rsidRDefault="00890706" w:rsidP="004C39CE">
            <w:pPr>
              <w:rPr>
                <w:b/>
              </w:rPr>
            </w:pPr>
            <w:r>
              <w:rPr>
                <w:b/>
              </w:rPr>
              <w:t>No antenatal care received</w:t>
            </w:r>
          </w:p>
        </w:tc>
        <w:tc>
          <w:tcPr>
            <w:tcW w:w="1275" w:type="dxa"/>
          </w:tcPr>
          <w:p w:rsidR="00890706" w:rsidRDefault="00890706" w:rsidP="004C39CE">
            <w:pPr>
              <w:jc w:val="center"/>
            </w:pPr>
            <w:r>
              <w:t>14%</w:t>
            </w:r>
          </w:p>
        </w:tc>
        <w:tc>
          <w:tcPr>
            <w:tcW w:w="1418" w:type="dxa"/>
          </w:tcPr>
          <w:p w:rsidR="00890706" w:rsidRDefault="00890706" w:rsidP="004C39CE">
            <w:pPr>
              <w:jc w:val="center"/>
            </w:pPr>
            <w:r>
              <w:t>48%</w:t>
            </w:r>
          </w:p>
        </w:tc>
        <w:tc>
          <w:tcPr>
            <w:tcW w:w="1843" w:type="dxa"/>
          </w:tcPr>
          <w:p w:rsidR="00890706" w:rsidRDefault="00890706" w:rsidP="004C39CE">
            <w:pPr>
              <w:jc w:val="center"/>
            </w:pPr>
            <w:r>
              <w:t>80%</w:t>
            </w:r>
          </w:p>
        </w:tc>
        <w:tc>
          <w:tcPr>
            <w:tcW w:w="1337" w:type="dxa"/>
          </w:tcPr>
          <w:p w:rsidR="00890706" w:rsidRDefault="00890706" w:rsidP="004C39CE">
            <w:pPr>
              <w:jc w:val="center"/>
            </w:pPr>
            <w:r>
              <w:t>44%</w:t>
            </w:r>
          </w:p>
        </w:tc>
      </w:tr>
      <w:tr w:rsidR="00890706" w:rsidTr="004C39CE">
        <w:tc>
          <w:tcPr>
            <w:tcW w:w="3256" w:type="dxa"/>
          </w:tcPr>
          <w:p w:rsidR="00890706" w:rsidRDefault="00890706" w:rsidP="004C39CE">
            <w:pPr>
              <w:rPr>
                <w:b/>
              </w:rPr>
            </w:pPr>
            <w:r>
              <w:rPr>
                <w:b/>
              </w:rPr>
              <w:t>Doctor/midwife assists delivery</w:t>
            </w:r>
          </w:p>
        </w:tc>
        <w:tc>
          <w:tcPr>
            <w:tcW w:w="1275" w:type="dxa"/>
          </w:tcPr>
          <w:p w:rsidR="00890706" w:rsidRDefault="00890706" w:rsidP="004C39CE">
            <w:pPr>
              <w:jc w:val="center"/>
            </w:pPr>
            <w:r>
              <w:t>79%</w:t>
            </w:r>
          </w:p>
        </w:tc>
        <w:tc>
          <w:tcPr>
            <w:tcW w:w="1418" w:type="dxa"/>
          </w:tcPr>
          <w:p w:rsidR="00890706" w:rsidRDefault="00890706" w:rsidP="004C39CE">
            <w:pPr>
              <w:jc w:val="center"/>
            </w:pPr>
            <w:r>
              <w:t>28%</w:t>
            </w:r>
          </w:p>
        </w:tc>
        <w:tc>
          <w:tcPr>
            <w:tcW w:w="1843" w:type="dxa"/>
          </w:tcPr>
          <w:p w:rsidR="00890706" w:rsidRDefault="00890706" w:rsidP="004C39CE">
            <w:pPr>
              <w:jc w:val="center"/>
            </w:pPr>
            <w:r>
              <w:t>11%</w:t>
            </w:r>
          </w:p>
        </w:tc>
        <w:tc>
          <w:tcPr>
            <w:tcW w:w="1337" w:type="dxa"/>
          </w:tcPr>
          <w:p w:rsidR="00890706" w:rsidRDefault="00890706" w:rsidP="004C39CE">
            <w:pPr>
              <w:jc w:val="center"/>
            </w:pPr>
            <w:r>
              <w:t>40%</w:t>
            </w:r>
          </w:p>
        </w:tc>
      </w:tr>
    </w:tbl>
    <w:p w:rsidR="000D2124" w:rsidRDefault="000D2124" w:rsidP="00BA36F2">
      <w:pPr>
        <w:rPr>
          <w:sz w:val="28"/>
        </w:rPr>
      </w:pPr>
      <w:r w:rsidRPr="000D2124">
        <w:rPr>
          <w:sz w:val="28"/>
        </w:rPr>
        <w:t xml:space="preserve"> </w:t>
      </w:r>
      <w:r w:rsidR="00C1072C">
        <w:rPr>
          <w:sz w:val="28"/>
        </w:rPr>
        <w:t xml:space="preserve"> </w:t>
      </w:r>
    </w:p>
    <w:p w:rsidR="00A5710A" w:rsidRDefault="00323207" w:rsidP="00BA36F2">
      <w:pPr>
        <w:rPr>
          <w:sz w:val="28"/>
        </w:rPr>
      </w:pPr>
      <w:r>
        <w:rPr>
          <w:sz w:val="28"/>
        </w:rPr>
        <w:t xml:space="preserve">Here again the sharp dichotomy between the three categories of places is immediately apparent, but of course this is specific to Lao PDR, where really isolated rural areas are a larger component of the national scene than anywhere else in Southeast Asia. </w:t>
      </w:r>
    </w:p>
    <w:p w:rsidR="00323207" w:rsidRDefault="00A5710A" w:rsidP="00BA36F2">
      <w:pPr>
        <w:rPr>
          <w:sz w:val="28"/>
        </w:rPr>
      </w:pPr>
      <w:r>
        <w:rPr>
          <w:sz w:val="28"/>
        </w:rPr>
        <w:lastRenderedPageBreak/>
        <w:t>So mu</w:t>
      </w:r>
      <w:r w:rsidR="0011581F">
        <w:rPr>
          <w:sz w:val="28"/>
        </w:rPr>
        <w:t>c</w:t>
      </w:r>
      <w:r>
        <w:rPr>
          <w:sz w:val="28"/>
        </w:rPr>
        <w:t xml:space="preserve">h remains to be done on the </w:t>
      </w:r>
      <w:r w:rsidR="0011581F">
        <w:rPr>
          <w:sz w:val="28"/>
        </w:rPr>
        <w:t xml:space="preserve">further elaboration of what we mean by urban and rural. Just arguing that there is some kind of continuum will not get us very far. This is one of the aspects of unfinished business that Graeme had a lively interest in pursuing further.    </w:t>
      </w:r>
      <w:r w:rsidR="00323207">
        <w:rPr>
          <w:sz w:val="28"/>
        </w:rPr>
        <w:t xml:space="preserve"> </w:t>
      </w:r>
    </w:p>
    <w:sectPr w:rsidR="003232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06" w:rsidRDefault="00890706" w:rsidP="00890706">
      <w:pPr>
        <w:spacing w:after="0" w:line="240" w:lineRule="auto"/>
      </w:pPr>
      <w:r>
        <w:separator/>
      </w:r>
    </w:p>
  </w:endnote>
  <w:endnote w:type="continuationSeparator" w:id="0">
    <w:p w:rsidR="00890706" w:rsidRDefault="00890706" w:rsidP="0089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91126"/>
      <w:docPartObj>
        <w:docPartGallery w:val="Page Numbers (Bottom of Page)"/>
        <w:docPartUnique/>
      </w:docPartObj>
    </w:sdtPr>
    <w:sdtEndPr>
      <w:rPr>
        <w:noProof/>
      </w:rPr>
    </w:sdtEndPr>
    <w:sdtContent>
      <w:p w:rsidR="00952C9A" w:rsidRDefault="00952C9A">
        <w:pPr>
          <w:pStyle w:val="Footer"/>
          <w:jc w:val="center"/>
        </w:pPr>
        <w:r>
          <w:fldChar w:fldCharType="begin"/>
        </w:r>
        <w:r>
          <w:instrText xml:space="preserve"> PAGE   \* MERGEFORMAT </w:instrText>
        </w:r>
        <w:r>
          <w:fldChar w:fldCharType="separate"/>
        </w:r>
        <w:r w:rsidR="00387C6D">
          <w:rPr>
            <w:noProof/>
          </w:rPr>
          <w:t>8</w:t>
        </w:r>
        <w:r>
          <w:rPr>
            <w:noProof/>
          </w:rPr>
          <w:fldChar w:fldCharType="end"/>
        </w:r>
      </w:p>
    </w:sdtContent>
  </w:sdt>
  <w:p w:rsidR="00890706" w:rsidRDefault="00890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06" w:rsidRDefault="00890706" w:rsidP="00890706">
      <w:pPr>
        <w:spacing w:after="0" w:line="240" w:lineRule="auto"/>
      </w:pPr>
      <w:r>
        <w:separator/>
      </w:r>
    </w:p>
  </w:footnote>
  <w:footnote w:type="continuationSeparator" w:id="0">
    <w:p w:rsidR="00890706" w:rsidRDefault="00890706" w:rsidP="00890706">
      <w:pPr>
        <w:spacing w:after="0" w:line="240" w:lineRule="auto"/>
      </w:pPr>
      <w:r>
        <w:continuationSeparator/>
      </w:r>
    </w:p>
  </w:footnote>
  <w:footnote w:id="1">
    <w:p w:rsidR="00470344" w:rsidRPr="00470344" w:rsidRDefault="00470344" w:rsidP="00470344">
      <w:r w:rsidRPr="00470344">
        <w:rPr>
          <w:rStyle w:val="FootnoteReference"/>
        </w:rPr>
        <w:footnoteRef/>
      </w:r>
      <w:r w:rsidRPr="00470344">
        <w:t xml:space="preserve"> </w:t>
      </w:r>
      <w:r w:rsidRPr="00470344">
        <w:rPr>
          <w:lang w:val="en-US"/>
        </w:rPr>
        <w:t>The model included the predictors GDP per capita (on log-scale), proportion of employment in agriculture, and population density (also on the log-scale). Residual analysis did not suggest the presence of interaction terms or non-linear relations between any of the predictors and urbanization.</w:t>
      </w:r>
      <w:r>
        <w:rPr>
          <w:lang w:val="en-US"/>
        </w:rPr>
        <w:t xml:space="preserve"> T</w:t>
      </w:r>
      <w:r w:rsidRPr="00470344">
        <w:rPr>
          <w:lang w:val="en-US"/>
        </w:rPr>
        <w:t>he proportion of total variance explained (R</w:t>
      </w:r>
      <w:r w:rsidRPr="00470344">
        <w:rPr>
          <w:vertAlign w:val="superscript"/>
          <w:lang w:val="en-US"/>
        </w:rPr>
        <w:t>2</w:t>
      </w:r>
      <w:r w:rsidRPr="00470344">
        <w:rPr>
          <w:lang w:val="en-US"/>
        </w:rPr>
        <w:t>) is 69 per cent. Unsurprisingly, urbanization is negatively related to employment in agriculture, and positively related to GDP per capita.</w:t>
      </w:r>
    </w:p>
    <w:p w:rsidR="00470344" w:rsidRPr="00470344" w:rsidRDefault="00470344">
      <w:pPr>
        <w:pStyle w:val="FootnoteText"/>
        <w:rPr>
          <w:sz w:val="22"/>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3F"/>
    <w:multiLevelType w:val="hybridMultilevel"/>
    <w:tmpl w:val="E65ABD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19D30EB"/>
    <w:multiLevelType w:val="hybridMultilevel"/>
    <w:tmpl w:val="E32EDA76"/>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
    <w:nsid w:val="33A870A6"/>
    <w:multiLevelType w:val="hybridMultilevel"/>
    <w:tmpl w:val="CC14CDA0"/>
    <w:lvl w:ilvl="0" w:tplc="17B61DF2">
      <w:start w:val="1"/>
      <w:numFmt w:val="bullet"/>
      <w:lvlText w:val="•"/>
      <w:lvlJc w:val="left"/>
      <w:pPr>
        <w:tabs>
          <w:tab w:val="num" w:pos="720"/>
        </w:tabs>
        <w:ind w:left="720" w:hanging="360"/>
      </w:pPr>
      <w:rPr>
        <w:rFonts w:ascii="Arial" w:hAnsi="Arial" w:hint="default"/>
      </w:rPr>
    </w:lvl>
    <w:lvl w:ilvl="1" w:tplc="1F7A10FA" w:tentative="1">
      <w:start w:val="1"/>
      <w:numFmt w:val="bullet"/>
      <w:lvlText w:val="•"/>
      <w:lvlJc w:val="left"/>
      <w:pPr>
        <w:tabs>
          <w:tab w:val="num" w:pos="1440"/>
        </w:tabs>
        <w:ind w:left="1440" w:hanging="360"/>
      </w:pPr>
      <w:rPr>
        <w:rFonts w:ascii="Arial" w:hAnsi="Arial" w:hint="default"/>
      </w:rPr>
    </w:lvl>
    <w:lvl w:ilvl="2" w:tplc="88383FB2" w:tentative="1">
      <w:start w:val="1"/>
      <w:numFmt w:val="bullet"/>
      <w:lvlText w:val="•"/>
      <w:lvlJc w:val="left"/>
      <w:pPr>
        <w:tabs>
          <w:tab w:val="num" w:pos="2160"/>
        </w:tabs>
        <w:ind w:left="2160" w:hanging="360"/>
      </w:pPr>
      <w:rPr>
        <w:rFonts w:ascii="Arial" w:hAnsi="Arial" w:hint="default"/>
      </w:rPr>
    </w:lvl>
    <w:lvl w:ilvl="3" w:tplc="DE5E529C" w:tentative="1">
      <w:start w:val="1"/>
      <w:numFmt w:val="bullet"/>
      <w:lvlText w:val="•"/>
      <w:lvlJc w:val="left"/>
      <w:pPr>
        <w:tabs>
          <w:tab w:val="num" w:pos="2880"/>
        </w:tabs>
        <w:ind w:left="2880" w:hanging="360"/>
      </w:pPr>
      <w:rPr>
        <w:rFonts w:ascii="Arial" w:hAnsi="Arial" w:hint="default"/>
      </w:rPr>
    </w:lvl>
    <w:lvl w:ilvl="4" w:tplc="A6A6CD1E" w:tentative="1">
      <w:start w:val="1"/>
      <w:numFmt w:val="bullet"/>
      <w:lvlText w:val="•"/>
      <w:lvlJc w:val="left"/>
      <w:pPr>
        <w:tabs>
          <w:tab w:val="num" w:pos="3600"/>
        </w:tabs>
        <w:ind w:left="3600" w:hanging="360"/>
      </w:pPr>
      <w:rPr>
        <w:rFonts w:ascii="Arial" w:hAnsi="Arial" w:hint="default"/>
      </w:rPr>
    </w:lvl>
    <w:lvl w:ilvl="5" w:tplc="8A74FEBA" w:tentative="1">
      <w:start w:val="1"/>
      <w:numFmt w:val="bullet"/>
      <w:lvlText w:val="•"/>
      <w:lvlJc w:val="left"/>
      <w:pPr>
        <w:tabs>
          <w:tab w:val="num" w:pos="4320"/>
        </w:tabs>
        <w:ind w:left="4320" w:hanging="360"/>
      </w:pPr>
      <w:rPr>
        <w:rFonts w:ascii="Arial" w:hAnsi="Arial" w:hint="default"/>
      </w:rPr>
    </w:lvl>
    <w:lvl w:ilvl="6" w:tplc="D9C28356" w:tentative="1">
      <w:start w:val="1"/>
      <w:numFmt w:val="bullet"/>
      <w:lvlText w:val="•"/>
      <w:lvlJc w:val="left"/>
      <w:pPr>
        <w:tabs>
          <w:tab w:val="num" w:pos="5040"/>
        </w:tabs>
        <w:ind w:left="5040" w:hanging="360"/>
      </w:pPr>
      <w:rPr>
        <w:rFonts w:ascii="Arial" w:hAnsi="Arial" w:hint="default"/>
      </w:rPr>
    </w:lvl>
    <w:lvl w:ilvl="7" w:tplc="0F22F2AE" w:tentative="1">
      <w:start w:val="1"/>
      <w:numFmt w:val="bullet"/>
      <w:lvlText w:val="•"/>
      <w:lvlJc w:val="left"/>
      <w:pPr>
        <w:tabs>
          <w:tab w:val="num" w:pos="5760"/>
        </w:tabs>
        <w:ind w:left="5760" w:hanging="360"/>
      </w:pPr>
      <w:rPr>
        <w:rFonts w:ascii="Arial" w:hAnsi="Arial" w:hint="default"/>
      </w:rPr>
    </w:lvl>
    <w:lvl w:ilvl="8" w:tplc="B9E2B9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2"/>
    <w:rsid w:val="00001908"/>
    <w:rsid w:val="000019C2"/>
    <w:rsid w:val="000050B1"/>
    <w:rsid w:val="00006ED4"/>
    <w:rsid w:val="0000791F"/>
    <w:rsid w:val="00012BBD"/>
    <w:rsid w:val="00014A11"/>
    <w:rsid w:val="00023C4D"/>
    <w:rsid w:val="000242CD"/>
    <w:rsid w:val="00024972"/>
    <w:rsid w:val="00026192"/>
    <w:rsid w:val="00030A23"/>
    <w:rsid w:val="0003362F"/>
    <w:rsid w:val="00036922"/>
    <w:rsid w:val="00037B08"/>
    <w:rsid w:val="00037C23"/>
    <w:rsid w:val="00040729"/>
    <w:rsid w:val="00040FAB"/>
    <w:rsid w:val="0004166D"/>
    <w:rsid w:val="0004617C"/>
    <w:rsid w:val="00046740"/>
    <w:rsid w:val="00047992"/>
    <w:rsid w:val="000507C7"/>
    <w:rsid w:val="00050CF8"/>
    <w:rsid w:val="00052016"/>
    <w:rsid w:val="000524CB"/>
    <w:rsid w:val="00055BB7"/>
    <w:rsid w:val="00055EE7"/>
    <w:rsid w:val="00057B4F"/>
    <w:rsid w:val="00060D0A"/>
    <w:rsid w:val="00064E56"/>
    <w:rsid w:val="000652D0"/>
    <w:rsid w:val="00065992"/>
    <w:rsid w:val="000667D1"/>
    <w:rsid w:val="000671AD"/>
    <w:rsid w:val="000718D0"/>
    <w:rsid w:val="000742E3"/>
    <w:rsid w:val="00074B4D"/>
    <w:rsid w:val="00074BD0"/>
    <w:rsid w:val="00084C47"/>
    <w:rsid w:val="00085386"/>
    <w:rsid w:val="000928BE"/>
    <w:rsid w:val="000941D8"/>
    <w:rsid w:val="000948B6"/>
    <w:rsid w:val="0009785B"/>
    <w:rsid w:val="000A0B63"/>
    <w:rsid w:val="000A3484"/>
    <w:rsid w:val="000A6594"/>
    <w:rsid w:val="000A7601"/>
    <w:rsid w:val="000A7ADB"/>
    <w:rsid w:val="000B12AA"/>
    <w:rsid w:val="000B2455"/>
    <w:rsid w:val="000B3F14"/>
    <w:rsid w:val="000B585F"/>
    <w:rsid w:val="000B6102"/>
    <w:rsid w:val="000C1E2F"/>
    <w:rsid w:val="000C2357"/>
    <w:rsid w:val="000C39D3"/>
    <w:rsid w:val="000C4C6C"/>
    <w:rsid w:val="000C6EAB"/>
    <w:rsid w:val="000C71BC"/>
    <w:rsid w:val="000C73D9"/>
    <w:rsid w:val="000C7C42"/>
    <w:rsid w:val="000D1574"/>
    <w:rsid w:val="000D2124"/>
    <w:rsid w:val="000D3B0E"/>
    <w:rsid w:val="000D425A"/>
    <w:rsid w:val="000D4FBB"/>
    <w:rsid w:val="000D74A1"/>
    <w:rsid w:val="000E2BBB"/>
    <w:rsid w:val="000E4882"/>
    <w:rsid w:val="000E676F"/>
    <w:rsid w:val="000F3F07"/>
    <w:rsid w:val="000F465F"/>
    <w:rsid w:val="000F557D"/>
    <w:rsid w:val="000F57FD"/>
    <w:rsid w:val="000F7100"/>
    <w:rsid w:val="00101EDE"/>
    <w:rsid w:val="0010246A"/>
    <w:rsid w:val="00102933"/>
    <w:rsid w:val="00104CD6"/>
    <w:rsid w:val="0010680D"/>
    <w:rsid w:val="0011002F"/>
    <w:rsid w:val="00113CBA"/>
    <w:rsid w:val="0011581F"/>
    <w:rsid w:val="00115A61"/>
    <w:rsid w:val="00116F1E"/>
    <w:rsid w:val="00117FD7"/>
    <w:rsid w:val="00122EF9"/>
    <w:rsid w:val="00124771"/>
    <w:rsid w:val="001248B2"/>
    <w:rsid w:val="00130DB0"/>
    <w:rsid w:val="00131513"/>
    <w:rsid w:val="00134C13"/>
    <w:rsid w:val="001367B0"/>
    <w:rsid w:val="00136CAF"/>
    <w:rsid w:val="00141996"/>
    <w:rsid w:val="00143608"/>
    <w:rsid w:val="00144C46"/>
    <w:rsid w:val="00144D07"/>
    <w:rsid w:val="00147D78"/>
    <w:rsid w:val="00157904"/>
    <w:rsid w:val="00157F35"/>
    <w:rsid w:val="00160B2B"/>
    <w:rsid w:val="00161545"/>
    <w:rsid w:val="00163D93"/>
    <w:rsid w:val="00170C24"/>
    <w:rsid w:val="00173506"/>
    <w:rsid w:val="00174A93"/>
    <w:rsid w:val="00175398"/>
    <w:rsid w:val="0017654A"/>
    <w:rsid w:val="00176917"/>
    <w:rsid w:val="00180EDC"/>
    <w:rsid w:val="00182F73"/>
    <w:rsid w:val="00184D26"/>
    <w:rsid w:val="00186B2B"/>
    <w:rsid w:val="00187DEF"/>
    <w:rsid w:val="0019298F"/>
    <w:rsid w:val="00193AA7"/>
    <w:rsid w:val="00194E18"/>
    <w:rsid w:val="0019623C"/>
    <w:rsid w:val="001972DF"/>
    <w:rsid w:val="001A19B7"/>
    <w:rsid w:val="001A1A8D"/>
    <w:rsid w:val="001A20F2"/>
    <w:rsid w:val="001A25BA"/>
    <w:rsid w:val="001A3660"/>
    <w:rsid w:val="001B0967"/>
    <w:rsid w:val="001B3457"/>
    <w:rsid w:val="001B3614"/>
    <w:rsid w:val="001B3A9A"/>
    <w:rsid w:val="001B4E87"/>
    <w:rsid w:val="001B505E"/>
    <w:rsid w:val="001B64AF"/>
    <w:rsid w:val="001C06A8"/>
    <w:rsid w:val="001C2050"/>
    <w:rsid w:val="001C3C9A"/>
    <w:rsid w:val="001C4EF0"/>
    <w:rsid w:val="001C5E12"/>
    <w:rsid w:val="001C5E2E"/>
    <w:rsid w:val="001C6F2B"/>
    <w:rsid w:val="001D2E10"/>
    <w:rsid w:val="001D2F47"/>
    <w:rsid w:val="001D4830"/>
    <w:rsid w:val="001D4CE2"/>
    <w:rsid w:val="001D6AA6"/>
    <w:rsid w:val="001E0B28"/>
    <w:rsid w:val="001E271B"/>
    <w:rsid w:val="001F232A"/>
    <w:rsid w:val="001F54BB"/>
    <w:rsid w:val="001F6E0A"/>
    <w:rsid w:val="001F7BD8"/>
    <w:rsid w:val="002004ED"/>
    <w:rsid w:val="00204676"/>
    <w:rsid w:val="00205798"/>
    <w:rsid w:val="00206180"/>
    <w:rsid w:val="00207A5F"/>
    <w:rsid w:val="00212159"/>
    <w:rsid w:val="002141CA"/>
    <w:rsid w:val="002151CF"/>
    <w:rsid w:val="00215A90"/>
    <w:rsid w:val="002179C6"/>
    <w:rsid w:val="002210F0"/>
    <w:rsid w:val="002228B7"/>
    <w:rsid w:val="00223013"/>
    <w:rsid w:val="002233CA"/>
    <w:rsid w:val="002260AA"/>
    <w:rsid w:val="002267DE"/>
    <w:rsid w:val="00226A13"/>
    <w:rsid w:val="00230109"/>
    <w:rsid w:val="00230419"/>
    <w:rsid w:val="00231399"/>
    <w:rsid w:val="00231440"/>
    <w:rsid w:val="00231BEE"/>
    <w:rsid w:val="00232B20"/>
    <w:rsid w:val="002339CE"/>
    <w:rsid w:val="00237258"/>
    <w:rsid w:val="002417F6"/>
    <w:rsid w:val="0024192A"/>
    <w:rsid w:val="00242BFB"/>
    <w:rsid w:val="00243909"/>
    <w:rsid w:val="002458F8"/>
    <w:rsid w:val="0025174F"/>
    <w:rsid w:val="002519BA"/>
    <w:rsid w:val="00253995"/>
    <w:rsid w:val="00253E58"/>
    <w:rsid w:val="00253FFF"/>
    <w:rsid w:val="00254C83"/>
    <w:rsid w:val="00254FEE"/>
    <w:rsid w:val="002552C7"/>
    <w:rsid w:val="00257E13"/>
    <w:rsid w:val="0026198D"/>
    <w:rsid w:val="0026284B"/>
    <w:rsid w:val="00265BA5"/>
    <w:rsid w:val="0026606B"/>
    <w:rsid w:val="00267AE6"/>
    <w:rsid w:val="00267BE5"/>
    <w:rsid w:val="002700BA"/>
    <w:rsid w:val="0027112C"/>
    <w:rsid w:val="00271268"/>
    <w:rsid w:val="002743FE"/>
    <w:rsid w:val="0027544E"/>
    <w:rsid w:val="00275594"/>
    <w:rsid w:val="0027595B"/>
    <w:rsid w:val="002772C8"/>
    <w:rsid w:val="0028396C"/>
    <w:rsid w:val="00287997"/>
    <w:rsid w:val="00291760"/>
    <w:rsid w:val="00291790"/>
    <w:rsid w:val="00292978"/>
    <w:rsid w:val="0029371E"/>
    <w:rsid w:val="00295119"/>
    <w:rsid w:val="002953D6"/>
    <w:rsid w:val="002A1716"/>
    <w:rsid w:val="002A1E19"/>
    <w:rsid w:val="002A2418"/>
    <w:rsid w:val="002A3469"/>
    <w:rsid w:val="002B466B"/>
    <w:rsid w:val="002B5B81"/>
    <w:rsid w:val="002B5C51"/>
    <w:rsid w:val="002C1FEC"/>
    <w:rsid w:val="002C4B85"/>
    <w:rsid w:val="002C5218"/>
    <w:rsid w:val="002C65D5"/>
    <w:rsid w:val="002C7E2F"/>
    <w:rsid w:val="002D02D6"/>
    <w:rsid w:val="002D2F19"/>
    <w:rsid w:val="002D3D8C"/>
    <w:rsid w:val="002D508D"/>
    <w:rsid w:val="002E1D48"/>
    <w:rsid w:val="002E3878"/>
    <w:rsid w:val="002E56F1"/>
    <w:rsid w:val="002E6E40"/>
    <w:rsid w:val="002E6EBF"/>
    <w:rsid w:val="002F1B5B"/>
    <w:rsid w:val="002F20B5"/>
    <w:rsid w:val="002F399A"/>
    <w:rsid w:val="002F3F68"/>
    <w:rsid w:val="002F51CE"/>
    <w:rsid w:val="002F5EFC"/>
    <w:rsid w:val="00300639"/>
    <w:rsid w:val="00303019"/>
    <w:rsid w:val="00305B51"/>
    <w:rsid w:val="00305D23"/>
    <w:rsid w:val="00307D0C"/>
    <w:rsid w:val="003108C4"/>
    <w:rsid w:val="00311D75"/>
    <w:rsid w:val="00314539"/>
    <w:rsid w:val="00317544"/>
    <w:rsid w:val="003179F2"/>
    <w:rsid w:val="00320F37"/>
    <w:rsid w:val="003218E0"/>
    <w:rsid w:val="00323207"/>
    <w:rsid w:val="00326636"/>
    <w:rsid w:val="00326854"/>
    <w:rsid w:val="00327ED5"/>
    <w:rsid w:val="00330F2C"/>
    <w:rsid w:val="003331BA"/>
    <w:rsid w:val="00341FE7"/>
    <w:rsid w:val="00344CAE"/>
    <w:rsid w:val="003456AC"/>
    <w:rsid w:val="00350436"/>
    <w:rsid w:val="003505DE"/>
    <w:rsid w:val="0035221E"/>
    <w:rsid w:val="00352E62"/>
    <w:rsid w:val="003542C0"/>
    <w:rsid w:val="0035769C"/>
    <w:rsid w:val="0035789B"/>
    <w:rsid w:val="00362585"/>
    <w:rsid w:val="0037181F"/>
    <w:rsid w:val="003734EB"/>
    <w:rsid w:val="003747E5"/>
    <w:rsid w:val="00375450"/>
    <w:rsid w:val="00380C4A"/>
    <w:rsid w:val="003866D2"/>
    <w:rsid w:val="00387C6D"/>
    <w:rsid w:val="0039472A"/>
    <w:rsid w:val="00394951"/>
    <w:rsid w:val="00394F72"/>
    <w:rsid w:val="003A05D9"/>
    <w:rsid w:val="003A0F04"/>
    <w:rsid w:val="003A1FF9"/>
    <w:rsid w:val="003A3288"/>
    <w:rsid w:val="003A4AF2"/>
    <w:rsid w:val="003A7439"/>
    <w:rsid w:val="003B0692"/>
    <w:rsid w:val="003B0C7B"/>
    <w:rsid w:val="003B61BA"/>
    <w:rsid w:val="003B6A85"/>
    <w:rsid w:val="003C3A28"/>
    <w:rsid w:val="003C4BF8"/>
    <w:rsid w:val="003C54E3"/>
    <w:rsid w:val="003C6316"/>
    <w:rsid w:val="003C6EB8"/>
    <w:rsid w:val="003D01EB"/>
    <w:rsid w:val="003D4379"/>
    <w:rsid w:val="003D45D3"/>
    <w:rsid w:val="003D57B0"/>
    <w:rsid w:val="003D64E9"/>
    <w:rsid w:val="003D676A"/>
    <w:rsid w:val="003E42CB"/>
    <w:rsid w:val="003E7CF9"/>
    <w:rsid w:val="003F123E"/>
    <w:rsid w:val="003F1327"/>
    <w:rsid w:val="003F14CE"/>
    <w:rsid w:val="003F228F"/>
    <w:rsid w:val="003F25B2"/>
    <w:rsid w:val="003F338C"/>
    <w:rsid w:val="003F6C24"/>
    <w:rsid w:val="003F7E31"/>
    <w:rsid w:val="00401DD8"/>
    <w:rsid w:val="00404190"/>
    <w:rsid w:val="00404992"/>
    <w:rsid w:val="004052FC"/>
    <w:rsid w:val="0040553C"/>
    <w:rsid w:val="004056D3"/>
    <w:rsid w:val="004058C3"/>
    <w:rsid w:val="00406022"/>
    <w:rsid w:val="0040608C"/>
    <w:rsid w:val="004105E3"/>
    <w:rsid w:val="004107AE"/>
    <w:rsid w:val="00412636"/>
    <w:rsid w:val="00414342"/>
    <w:rsid w:val="00414AB7"/>
    <w:rsid w:val="00415BE5"/>
    <w:rsid w:val="00420254"/>
    <w:rsid w:val="00421FA0"/>
    <w:rsid w:val="004234E2"/>
    <w:rsid w:val="004275EF"/>
    <w:rsid w:val="00430069"/>
    <w:rsid w:val="004300A3"/>
    <w:rsid w:val="00430A6E"/>
    <w:rsid w:val="00431097"/>
    <w:rsid w:val="0043133D"/>
    <w:rsid w:val="00432FFE"/>
    <w:rsid w:val="0043303B"/>
    <w:rsid w:val="00433B01"/>
    <w:rsid w:val="004356A1"/>
    <w:rsid w:val="00436CCF"/>
    <w:rsid w:val="004377BF"/>
    <w:rsid w:val="00437E60"/>
    <w:rsid w:val="004419B4"/>
    <w:rsid w:val="00442F42"/>
    <w:rsid w:val="00443A65"/>
    <w:rsid w:val="00445349"/>
    <w:rsid w:val="00445FDB"/>
    <w:rsid w:val="0044689D"/>
    <w:rsid w:val="004473E3"/>
    <w:rsid w:val="00447D2E"/>
    <w:rsid w:val="00451B0E"/>
    <w:rsid w:val="004520D2"/>
    <w:rsid w:val="00452C7E"/>
    <w:rsid w:val="004534B2"/>
    <w:rsid w:val="0045428F"/>
    <w:rsid w:val="00460398"/>
    <w:rsid w:val="0046055B"/>
    <w:rsid w:val="004617B5"/>
    <w:rsid w:val="00463236"/>
    <w:rsid w:val="00463E6E"/>
    <w:rsid w:val="004653B2"/>
    <w:rsid w:val="004655A0"/>
    <w:rsid w:val="00465D26"/>
    <w:rsid w:val="00470344"/>
    <w:rsid w:val="00470394"/>
    <w:rsid w:val="004722F4"/>
    <w:rsid w:val="00473750"/>
    <w:rsid w:val="004764E7"/>
    <w:rsid w:val="00476D56"/>
    <w:rsid w:val="004828AF"/>
    <w:rsid w:val="004864EC"/>
    <w:rsid w:val="00486CC1"/>
    <w:rsid w:val="00487174"/>
    <w:rsid w:val="0048750A"/>
    <w:rsid w:val="004947CF"/>
    <w:rsid w:val="004947ED"/>
    <w:rsid w:val="004972A3"/>
    <w:rsid w:val="004A09A9"/>
    <w:rsid w:val="004A2E73"/>
    <w:rsid w:val="004A3BBB"/>
    <w:rsid w:val="004A6D8C"/>
    <w:rsid w:val="004A70F1"/>
    <w:rsid w:val="004B1001"/>
    <w:rsid w:val="004B1DB5"/>
    <w:rsid w:val="004B2A1C"/>
    <w:rsid w:val="004B2AA4"/>
    <w:rsid w:val="004B356C"/>
    <w:rsid w:val="004B4345"/>
    <w:rsid w:val="004B4DEE"/>
    <w:rsid w:val="004C6D4F"/>
    <w:rsid w:val="004C7639"/>
    <w:rsid w:val="004C7B64"/>
    <w:rsid w:val="004D10F1"/>
    <w:rsid w:val="004D2031"/>
    <w:rsid w:val="004D24D4"/>
    <w:rsid w:val="004D412A"/>
    <w:rsid w:val="004D4575"/>
    <w:rsid w:val="004D5F4D"/>
    <w:rsid w:val="004D65A8"/>
    <w:rsid w:val="004E01C6"/>
    <w:rsid w:val="004E08B1"/>
    <w:rsid w:val="004E200B"/>
    <w:rsid w:val="004E5039"/>
    <w:rsid w:val="004F16E4"/>
    <w:rsid w:val="004F4996"/>
    <w:rsid w:val="004F76AE"/>
    <w:rsid w:val="005023E2"/>
    <w:rsid w:val="005055A4"/>
    <w:rsid w:val="00507B49"/>
    <w:rsid w:val="00507FA4"/>
    <w:rsid w:val="005103C1"/>
    <w:rsid w:val="00510AF2"/>
    <w:rsid w:val="00511169"/>
    <w:rsid w:val="00511264"/>
    <w:rsid w:val="00513941"/>
    <w:rsid w:val="00514367"/>
    <w:rsid w:val="00514428"/>
    <w:rsid w:val="00515258"/>
    <w:rsid w:val="00515773"/>
    <w:rsid w:val="00515A2E"/>
    <w:rsid w:val="005170FA"/>
    <w:rsid w:val="005204F5"/>
    <w:rsid w:val="00524AD1"/>
    <w:rsid w:val="00526E77"/>
    <w:rsid w:val="00527494"/>
    <w:rsid w:val="00530A85"/>
    <w:rsid w:val="0053369D"/>
    <w:rsid w:val="00537F3B"/>
    <w:rsid w:val="005441EC"/>
    <w:rsid w:val="005444A8"/>
    <w:rsid w:val="00550124"/>
    <w:rsid w:val="005511F2"/>
    <w:rsid w:val="00553B4C"/>
    <w:rsid w:val="0055647D"/>
    <w:rsid w:val="005564D6"/>
    <w:rsid w:val="005578A6"/>
    <w:rsid w:val="0057173E"/>
    <w:rsid w:val="00574DC9"/>
    <w:rsid w:val="005759A1"/>
    <w:rsid w:val="00575A37"/>
    <w:rsid w:val="00575AEF"/>
    <w:rsid w:val="00580187"/>
    <w:rsid w:val="00580A67"/>
    <w:rsid w:val="00587311"/>
    <w:rsid w:val="005909FC"/>
    <w:rsid w:val="00591413"/>
    <w:rsid w:val="00591793"/>
    <w:rsid w:val="00594641"/>
    <w:rsid w:val="00596CC1"/>
    <w:rsid w:val="005A3420"/>
    <w:rsid w:val="005A495C"/>
    <w:rsid w:val="005A68BB"/>
    <w:rsid w:val="005A6B4B"/>
    <w:rsid w:val="005B0203"/>
    <w:rsid w:val="005B10B1"/>
    <w:rsid w:val="005B1341"/>
    <w:rsid w:val="005B2E61"/>
    <w:rsid w:val="005B42F4"/>
    <w:rsid w:val="005B51FC"/>
    <w:rsid w:val="005B5359"/>
    <w:rsid w:val="005B5576"/>
    <w:rsid w:val="005B6052"/>
    <w:rsid w:val="005B6500"/>
    <w:rsid w:val="005C3EE3"/>
    <w:rsid w:val="005C4E68"/>
    <w:rsid w:val="005C6845"/>
    <w:rsid w:val="005D0D86"/>
    <w:rsid w:val="005D4A25"/>
    <w:rsid w:val="005D5D7A"/>
    <w:rsid w:val="005D63D4"/>
    <w:rsid w:val="005D72FD"/>
    <w:rsid w:val="005E085F"/>
    <w:rsid w:val="005E1F92"/>
    <w:rsid w:val="005E218F"/>
    <w:rsid w:val="005E3714"/>
    <w:rsid w:val="005E3B24"/>
    <w:rsid w:val="005E76BE"/>
    <w:rsid w:val="005F08D1"/>
    <w:rsid w:val="005F10E3"/>
    <w:rsid w:val="005F2BEE"/>
    <w:rsid w:val="005F4886"/>
    <w:rsid w:val="005F7411"/>
    <w:rsid w:val="00602DDE"/>
    <w:rsid w:val="00603711"/>
    <w:rsid w:val="006037E9"/>
    <w:rsid w:val="006114B6"/>
    <w:rsid w:val="006120DF"/>
    <w:rsid w:val="00613E52"/>
    <w:rsid w:val="00621F04"/>
    <w:rsid w:val="00626431"/>
    <w:rsid w:val="006269B1"/>
    <w:rsid w:val="00630E44"/>
    <w:rsid w:val="00633D1C"/>
    <w:rsid w:val="00634F9C"/>
    <w:rsid w:val="00635392"/>
    <w:rsid w:val="00635A12"/>
    <w:rsid w:val="00637F00"/>
    <w:rsid w:val="0064057B"/>
    <w:rsid w:val="0064219A"/>
    <w:rsid w:val="00643294"/>
    <w:rsid w:val="00643D05"/>
    <w:rsid w:val="006449BF"/>
    <w:rsid w:val="00645BAE"/>
    <w:rsid w:val="0064783D"/>
    <w:rsid w:val="00647A31"/>
    <w:rsid w:val="00647CBB"/>
    <w:rsid w:val="00647E96"/>
    <w:rsid w:val="00650E01"/>
    <w:rsid w:val="00653473"/>
    <w:rsid w:val="00656EED"/>
    <w:rsid w:val="00664452"/>
    <w:rsid w:val="0066558F"/>
    <w:rsid w:val="00666746"/>
    <w:rsid w:val="00667599"/>
    <w:rsid w:val="00670245"/>
    <w:rsid w:val="006719E2"/>
    <w:rsid w:val="0067291E"/>
    <w:rsid w:val="00677ED2"/>
    <w:rsid w:val="006826CF"/>
    <w:rsid w:val="00682F9E"/>
    <w:rsid w:val="006841E8"/>
    <w:rsid w:val="00684F2C"/>
    <w:rsid w:val="00691384"/>
    <w:rsid w:val="0069678A"/>
    <w:rsid w:val="006A38F4"/>
    <w:rsid w:val="006A609A"/>
    <w:rsid w:val="006B14D8"/>
    <w:rsid w:val="006B431D"/>
    <w:rsid w:val="006C26B1"/>
    <w:rsid w:val="006C4F91"/>
    <w:rsid w:val="006C5195"/>
    <w:rsid w:val="006C5C38"/>
    <w:rsid w:val="006C65D2"/>
    <w:rsid w:val="006D05F8"/>
    <w:rsid w:val="006D0818"/>
    <w:rsid w:val="006D2B0F"/>
    <w:rsid w:val="006D2EA0"/>
    <w:rsid w:val="006D4941"/>
    <w:rsid w:val="006D4E85"/>
    <w:rsid w:val="006D6DE6"/>
    <w:rsid w:val="006D6F3A"/>
    <w:rsid w:val="006E05B8"/>
    <w:rsid w:val="006E18C9"/>
    <w:rsid w:val="006E3DD3"/>
    <w:rsid w:val="006E5650"/>
    <w:rsid w:val="006E6578"/>
    <w:rsid w:val="006E7179"/>
    <w:rsid w:val="006F316D"/>
    <w:rsid w:val="006F3214"/>
    <w:rsid w:val="006F34C2"/>
    <w:rsid w:val="006F3548"/>
    <w:rsid w:val="006F5766"/>
    <w:rsid w:val="006F6828"/>
    <w:rsid w:val="006F7EC8"/>
    <w:rsid w:val="00700954"/>
    <w:rsid w:val="007033AC"/>
    <w:rsid w:val="00710E5D"/>
    <w:rsid w:val="007141E5"/>
    <w:rsid w:val="00716923"/>
    <w:rsid w:val="007202B0"/>
    <w:rsid w:val="00720C68"/>
    <w:rsid w:val="00720FA5"/>
    <w:rsid w:val="00721207"/>
    <w:rsid w:val="00721F54"/>
    <w:rsid w:val="0072244D"/>
    <w:rsid w:val="00727E0E"/>
    <w:rsid w:val="0073045B"/>
    <w:rsid w:val="007306A7"/>
    <w:rsid w:val="00733E6F"/>
    <w:rsid w:val="007371F5"/>
    <w:rsid w:val="00742685"/>
    <w:rsid w:val="007432EC"/>
    <w:rsid w:val="007455F7"/>
    <w:rsid w:val="00750CDB"/>
    <w:rsid w:val="00751BCB"/>
    <w:rsid w:val="00752667"/>
    <w:rsid w:val="007542A8"/>
    <w:rsid w:val="00754927"/>
    <w:rsid w:val="007555E8"/>
    <w:rsid w:val="007560D4"/>
    <w:rsid w:val="007573D1"/>
    <w:rsid w:val="00762351"/>
    <w:rsid w:val="0076376D"/>
    <w:rsid w:val="00763940"/>
    <w:rsid w:val="00766568"/>
    <w:rsid w:val="007667C7"/>
    <w:rsid w:val="00774AF4"/>
    <w:rsid w:val="00781C35"/>
    <w:rsid w:val="0078435C"/>
    <w:rsid w:val="007843D8"/>
    <w:rsid w:val="0078477E"/>
    <w:rsid w:val="0078481C"/>
    <w:rsid w:val="00785414"/>
    <w:rsid w:val="0078597C"/>
    <w:rsid w:val="00785D81"/>
    <w:rsid w:val="00791182"/>
    <w:rsid w:val="00791984"/>
    <w:rsid w:val="00794ED8"/>
    <w:rsid w:val="00795532"/>
    <w:rsid w:val="0079554B"/>
    <w:rsid w:val="007965A7"/>
    <w:rsid w:val="007A0A64"/>
    <w:rsid w:val="007A2D52"/>
    <w:rsid w:val="007A35F8"/>
    <w:rsid w:val="007A38F5"/>
    <w:rsid w:val="007A47C1"/>
    <w:rsid w:val="007A5B45"/>
    <w:rsid w:val="007A73FD"/>
    <w:rsid w:val="007A795B"/>
    <w:rsid w:val="007B0BD3"/>
    <w:rsid w:val="007B13E2"/>
    <w:rsid w:val="007B4AEE"/>
    <w:rsid w:val="007B4EE1"/>
    <w:rsid w:val="007C5039"/>
    <w:rsid w:val="007C7818"/>
    <w:rsid w:val="007C7873"/>
    <w:rsid w:val="007D03F6"/>
    <w:rsid w:val="007D0A9C"/>
    <w:rsid w:val="007D26CC"/>
    <w:rsid w:val="007D4D20"/>
    <w:rsid w:val="007D5460"/>
    <w:rsid w:val="007D618C"/>
    <w:rsid w:val="007D7220"/>
    <w:rsid w:val="007D79F4"/>
    <w:rsid w:val="007E59AE"/>
    <w:rsid w:val="007E5F7E"/>
    <w:rsid w:val="007E767F"/>
    <w:rsid w:val="007F42C5"/>
    <w:rsid w:val="007F551B"/>
    <w:rsid w:val="007F69BC"/>
    <w:rsid w:val="00800237"/>
    <w:rsid w:val="00800C63"/>
    <w:rsid w:val="008015C5"/>
    <w:rsid w:val="0080186C"/>
    <w:rsid w:val="00801D6F"/>
    <w:rsid w:val="00802204"/>
    <w:rsid w:val="008039BE"/>
    <w:rsid w:val="00804824"/>
    <w:rsid w:val="00806E74"/>
    <w:rsid w:val="0080746B"/>
    <w:rsid w:val="00807589"/>
    <w:rsid w:val="00807B5B"/>
    <w:rsid w:val="008109F1"/>
    <w:rsid w:val="00812450"/>
    <w:rsid w:val="00812B9E"/>
    <w:rsid w:val="00812C1C"/>
    <w:rsid w:val="0081431D"/>
    <w:rsid w:val="0081435B"/>
    <w:rsid w:val="00821BC2"/>
    <w:rsid w:val="0082278F"/>
    <w:rsid w:val="00825F0E"/>
    <w:rsid w:val="00826E7C"/>
    <w:rsid w:val="0083391B"/>
    <w:rsid w:val="0083455B"/>
    <w:rsid w:val="008346A8"/>
    <w:rsid w:val="00834BCF"/>
    <w:rsid w:val="008372D3"/>
    <w:rsid w:val="00840390"/>
    <w:rsid w:val="00841E79"/>
    <w:rsid w:val="00842BC5"/>
    <w:rsid w:val="008434D3"/>
    <w:rsid w:val="00845C64"/>
    <w:rsid w:val="0084652F"/>
    <w:rsid w:val="00855AD7"/>
    <w:rsid w:val="008563F3"/>
    <w:rsid w:val="008636D3"/>
    <w:rsid w:val="008646B8"/>
    <w:rsid w:val="00866A37"/>
    <w:rsid w:val="00866D23"/>
    <w:rsid w:val="0086739C"/>
    <w:rsid w:val="0087160E"/>
    <w:rsid w:val="00882EE2"/>
    <w:rsid w:val="00884A7A"/>
    <w:rsid w:val="00884B13"/>
    <w:rsid w:val="00890706"/>
    <w:rsid w:val="008944AD"/>
    <w:rsid w:val="00895A09"/>
    <w:rsid w:val="008A7907"/>
    <w:rsid w:val="008A7F16"/>
    <w:rsid w:val="008B2A1D"/>
    <w:rsid w:val="008B2A9F"/>
    <w:rsid w:val="008B3C83"/>
    <w:rsid w:val="008B3FB4"/>
    <w:rsid w:val="008B4ACF"/>
    <w:rsid w:val="008B531D"/>
    <w:rsid w:val="008C2132"/>
    <w:rsid w:val="008C2C3C"/>
    <w:rsid w:val="008C355C"/>
    <w:rsid w:val="008C4C85"/>
    <w:rsid w:val="008C5131"/>
    <w:rsid w:val="008C7C05"/>
    <w:rsid w:val="008D10DA"/>
    <w:rsid w:val="008D14BF"/>
    <w:rsid w:val="008D207C"/>
    <w:rsid w:val="008D2426"/>
    <w:rsid w:val="008D36C3"/>
    <w:rsid w:val="008D3EAE"/>
    <w:rsid w:val="008D4D58"/>
    <w:rsid w:val="008D4DD6"/>
    <w:rsid w:val="008D6DA5"/>
    <w:rsid w:val="008D6ED0"/>
    <w:rsid w:val="008E1E77"/>
    <w:rsid w:val="008E3B11"/>
    <w:rsid w:val="008E4D0D"/>
    <w:rsid w:val="008E6A24"/>
    <w:rsid w:val="008E6B19"/>
    <w:rsid w:val="008F0D22"/>
    <w:rsid w:val="008F1331"/>
    <w:rsid w:val="008F135C"/>
    <w:rsid w:val="008F1A4D"/>
    <w:rsid w:val="008F2236"/>
    <w:rsid w:val="008F2E3D"/>
    <w:rsid w:val="008F336C"/>
    <w:rsid w:val="008F5E0B"/>
    <w:rsid w:val="008F7E8C"/>
    <w:rsid w:val="009001BE"/>
    <w:rsid w:val="009013DB"/>
    <w:rsid w:val="009026F3"/>
    <w:rsid w:val="00904C8F"/>
    <w:rsid w:val="00905812"/>
    <w:rsid w:val="009065CA"/>
    <w:rsid w:val="00906F98"/>
    <w:rsid w:val="00910538"/>
    <w:rsid w:val="0091585A"/>
    <w:rsid w:val="0091592E"/>
    <w:rsid w:val="009228AF"/>
    <w:rsid w:val="00926D8D"/>
    <w:rsid w:val="0092728A"/>
    <w:rsid w:val="00927879"/>
    <w:rsid w:val="00927C85"/>
    <w:rsid w:val="0093135F"/>
    <w:rsid w:val="00931AF8"/>
    <w:rsid w:val="00932150"/>
    <w:rsid w:val="009322F6"/>
    <w:rsid w:val="009335A3"/>
    <w:rsid w:val="00934038"/>
    <w:rsid w:val="00935A96"/>
    <w:rsid w:val="00940CEE"/>
    <w:rsid w:val="009430BC"/>
    <w:rsid w:val="00943335"/>
    <w:rsid w:val="00943465"/>
    <w:rsid w:val="00945965"/>
    <w:rsid w:val="009460EC"/>
    <w:rsid w:val="00946922"/>
    <w:rsid w:val="009505E3"/>
    <w:rsid w:val="009514B5"/>
    <w:rsid w:val="00952C9A"/>
    <w:rsid w:val="0095341C"/>
    <w:rsid w:val="00956882"/>
    <w:rsid w:val="00960735"/>
    <w:rsid w:val="009622DC"/>
    <w:rsid w:val="00963DA6"/>
    <w:rsid w:val="00966BF5"/>
    <w:rsid w:val="009723AB"/>
    <w:rsid w:val="0097275D"/>
    <w:rsid w:val="009730A3"/>
    <w:rsid w:val="009736BF"/>
    <w:rsid w:val="0097377D"/>
    <w:rsid w:val="0097640D"/>
    <w:rsid w:val="009765C7"/>
    <w:rsid w:val="009823B9"/>
    <w:rsid w:val="00982B1D"/>
    <w:rsid w:val="00987B74"/>
    <w:rsid w:val="00993BD1"/>
    <w:rsid w:val="00994543"/>
    <w:rsid w:val="009947BD"/>
    <w:rsid w:val="00995071"/>
    <w:rsid w:val="009959BF"/>
    <w:rsid w:val="009960D0"/>
    <w:rsid w:val="00997AFA"/>
    <w:rsid w:val="009A02FA"/>
    <w:rsid w:val="009A1A93"/>
    <w:rsid w:val="009A502C"/>
    <w:rsid w:val="009B16B7"/>
    <w:rsid w:val="009B36AA"/>
    <w:rsid w:val="009B3A82"/>
    <w:rsid w:val="009B5B10"/>
    <w:rsid w:val="009B5DFE"/>
    <w:rsid w:val="009B70D3"/>
    <w:rsid w:val="009B7A94"/>
    <w:rsid w:val="009C300D"/>
    <w:rsid w:val="009C4274"/>
    <w:rsid w:val="009C4E54"/>
    <w:rsid w:val="009C50D3"/>
    <w:rsid w:val="009C6899"/>
    <w:rsid w:val="009C76C3"/>
    <w:rsid w:val="009D00FD"/>
    <w:rsid w:val="009D11EE"/>
    <w:rsid w:val="009D2FDE"/>
    <w:rsid w:val="009D37AD"/>
    <w:rsid w:val="009D37B3"/>
    <w:rsid w:val="009D50A8"/>
    <w:rsid w:val="009D571D"/>
    <w:rsid w:val="009D620C"/>
    <w:rsid w:val="009D6240"/>
    <w:rsid w:val="009D6FD1"/>
    <w:rsid w:val="009D75F1"/>
    <w:rsid w:val="009D7616"/>
    <w:rsid w:val="009E0098"/>
    <w:rsid w:val="009E3D06"/>
    <w:rsid w:val="009E7037"/>
    <w:rsid w:val="009E7507"/>
    <w:rsid w:val="009F0263"/>
    <w:rsid w:val="009F0D53"/>
    <w:rsid w:val="009F1178"/>
    <w:rsid w:val="009F1ED1"/>
    <w:rsid w:val="009F2DC8"/>
    <w:rsid w:val="009F6177"/>
    <w:rsid w:val="00A006D4"/>
    <w:rsid w:val="00A02D40"/>
    <w:rsid w:val="00A06D68"/>
    <w:rsid w:val="00A074CC"/>
    <w:rsid w:val="00A101C5"/>
    <w:rsid w:val="00A11B2F"/>
    <w:rsid w:val="00A151C0"/>
    <w:rsid w:val="00A156B0"/>
    <w:rsid w:val="00A15A81"/>
    <w:rsid w:val="00A22291"/>
    <w:rsid w:val="00A22EBB"/>
    <w:rsid w:val="00A23F9D"/>
    <w:rsid w:val="00A24AEA"/>
    <w:rsid w:val="00A258B2"/>
    <w:rsid w:val="00A26894"/>
    <w:rsid w:val="00A27231"/>
    <w:rsid w:val="00A3014D"/>
    <w:rsid w:val="00A309AB"/>
    <w:rsid w:val="00A32A54"/>
    <w:rsid w:val="00A355AC"/>
    <w:rsid w:val="00A355D0"/>
    <w:rsid w:val="00A35647"/>
    <w:rsid w:val="00A37AE3"/>
    <w:rsid w:val="00A43D0C"/>
    <w:rsid w:val="00A4488E"/>
    <w:rsid w:val="00A44C48"/>
    <w:rsid w:val="00A4668D"/>
    <w:rsid w:val="00A46B99"/>
    <w:rsid w:val="00A471E4"/>
    <w:rsid w:val="00A50552"/>
    <w:rsid w:val="00A516B3"/>
    <w:rsid w:val="00A51A41"/>
    <w:rsid w:val="00A520A5"/>
    <w:rsid w:val="00A52839"/>
    <w:rsid w:val="00A52989"/>
    <w:rsid w:val="00A53915"/>
    <w:rsid w:val="00A539FF"/>
    <w:rsid w:val="00A53CC5"/>
    <w:rsid w:val="00A5710A"/>
    <w:rsid w:val="00A63250"/>
    <w:rsid w:val="00A638B7"/>
    <w:rsid w:val="00A64F25"/>
    <w:rsid w:val="00A66B1D"/>
    <w:rsid w:val="00A71A95"/>
    <w:rsid w:val="00A71EB6"/>
    <w:rsid w:val="00A743C2"/>
    <w:rsid w:val="00A7486E"/>
    <w:rsid w:val="00A74A2B"/>
    <w:rsid w:val="00A75410"/>
    <w:rsid w:val="00A75EAD"/>
    <w:rsid w:val="00A812AE"/>
    <w:rsid w:val="00A8222F"/>
    <w:rsid w:val="00A87FFD"/>
    <w:rsid w:val="00A90A0C"/>
    <w:rsid w:val="00A91C1E"/>
    <w:rsid w:val="00A93040"/>
    <w:rsid w:val="00A93628"/>
    <w:rsid w:val="00A9372C"/>
    <w:rsid w:val="00A94975"/>
    <w:rsid w:val="00A978DF"/>
    <w:rsid w:val="00AA0773"/>
    <w:rsid w:val="00AA0A6A"/>
    <w:rsid w:val="00AA0AFD"/>
    <w:rsid w:val="00AA161D"/>
    <w:rsid w:val="00AA25DD"/>
    <w:rsid w:val="00AA2C95"/>
    <w:rsid w:val="00AA433D"/>
    <w:rsid w:val="00AA4492"/>
    <w:rsid w:val="00AA54F5"/>
    <w:rsid w:val="00AA552D"/>
    <w:rsid w:val="00AA6641"/>
    <w:rsid w:val="00AA6E4E"/>
    <w:rsid w:val="00AA71A2"/>
    <w:rsid w:val="00AA721A"/>
    <w:rsid w:val="00AB0804"/>
    <w:rsid w:val="00AB130D"/>
    <w:rsid w:val="00AB1B74"/>
    <w:rsid w:val="00AB1E82"/>
    <w:rsid w:val="00AB3F93"/>
    <w:rsid w:val="00AB4884"/>
    <w:rsid w:val="00AB5FB0"/>
    <w:rsid w:val="00AB63E6"/>
    <w:rsid w:val="00AB737F"/>
    <w:rsid w:val="00AB7C16"/>
    <w:rsid w:val="00AC4D8F"/>
    <w:rsid w:val="00AC62E3"/>
    <w:rsid w:val="00AD29CC"/>
    <w:rsid w:val="00AD4939"/>
    <w:rsid w:val="00AE04AB"/>
    <w:rsid w:val="00AE0C8D"/>
    <w:rsid w:val="00AE1968"/>
    <w:rsid w:val="00AE25AA"/>
    <w:rsid w:val="00AE350D"/>
    <w:rsid w:val="00AE3934"/>
    <w:rsid w:val="00AE5091"/>
    <w:rsid w:val="00AE5223"/>
    <w:rsid w:val="00AE5B6D"/>
    <w:rsid w:val="00AE7F56"/>
    <w:rsid w:val="00AF0C70"/>
    <w:rsid w:val="00AF4E53"/>
    <w:rsid w:val="00AF63E8"/>
    <w:rsid w:val="00B000BD"/>
    <w:rsid w:val="00B00B93"/>
    <w:rsid w:val="00B01132"/>
    <w:rsid w:val="00B03863"/>
    <w:rsid w:val="00B062AE"/>
    <w:rsid w:val="00B1366C"/>
    <w:rsid w:val="00B1481F"/>
    <w:rsid w:val="00B14B6E"/>
    <w:rsid w:val="00B15623"/>
    <w:rsid w:val="00B17135"/>
    <w:rsid w:val="00B20CEE"/>
    <w:rsid w:val="00B210A6"/>
    <w:rsid w:val="00B21D3E"/>
    <w:rsid w:val="00B23B9F"/>
    <w:rsid w:val="00B26019"/>
    <w:rsid w:val="00B2613E"/>
    <w:rsid w:val="00B33A57"/>
    <w:rsid w:val="00B36525"/>
    <w:rsid w:val="00B411A6"/>
    <w:rsid w:val="00B41881"/>
    <w:rsid w:val="00B42385"/>
    <w:rsid w:val="00B42578"/>
    <w:rsid w:val="00B43BCC"/>
    <w:rsid w:val="00B43FA3"/>
    <w:rsid w:val="00B44A05"/>
    <w:rsid w:val="00B47A51"/>
    <w:rsid w:val="00B50502"/>
    <w:rsid w:val="00B51AD8"/>
    <w:rsid w:val="00B52146"/>
    <w:rsid w:val="00B52447"/>
    <w:rsid w:val="00B550BC"/>
    <w:rsid w:val="00B6247F"/>
    <w:rsid w:val="00B63A68"/>
    <w:rsid w:val="00B64141"/>
    <w:rsid w:val="00B64292"/>
    <w:rsid w:val="00B661E7"/>
    <w:rsid w:val="00B6664F"/>
    <w:rsid w:val="00B66F43"/>
    <w:rsid w:val="00B67E2E"/>
    <w:rsid w:val="00B7012D"/>
    <w:rsid w:val="00B706E0"/>
    <w:rsid w:val="00B740C7"/>
    <w:rsid w:val="00B777ED"/>
    <w:rsid w:val="00B7794A"/>
    <w:rsid w:val="00B80F5C"/>
    <w:rsid w:val="00B816E2"/>
    <w:rsid w:val="00B820F6"/>
    <w:rsid w:val="00B94D9D"/>
    <w:rsid w:val="00B95AB0"/>
    <w:rsid w:val="00B95C70"/>
    <w:rsid w:val="00BA0E51"/>
    <w:rsid w:val="00BA12A8"/>
    <w:rsid w:val="00BA150D"/>
    <w:rsid w:val="00BA2265"/>
    <w:rsid w:val="00BA36F2"/>
    <w:rsid w:val="00BA7BED"/>
    <w:rsid w:val="00BB2F8C"/>
    <w:rsid w:val="00BB52B0"/>
    <w:rsid w:val="00BB55E0"/>
    <w:rsid w:val="00BB5B85"/>
    <w:rsid w:val="00BB5EDC"/>
    <w:rsid w:val="00BB7076"/>
    <w:rsid w:val="00BB721D"/>
    <w:rsid w:val="00BB7E41"/>
    <w:rsid w:val="00BC021E"/>
    <w:rsid w:val="00BC18EC"/>
    <w:rsid w:val="00BC5E4F"/>
    <w:rsid w:val="00BC668F"/>
    <w:rsid w:val="00BC7AA1"/>
    <w:rsid w:val="00BD0515"/>
    <w:rsid w:val="00BD2C04"/>
    <w:rsid w:val="00BD420F"/>
    <w:rsid w:val="00BD4D49"/>
    <w:rsid w:val="00BD7912"/>
    <w:rsid w:val="00BD7980"/>
    <w:rsid w:val="00BE0918"/>
    <w:rsid w:val="00BE124E"/>
    <w:rsid w:val="00BE2A34"/>
    <w:rsid w:val="00BE7224"/>
    <w:rsid w:val="00BE7343"/>
    <w:rsid w:val="00BE7F69"/>
    <w:rsid w:val="00BF3B2D"/>
    <w:rsid w:val="00BF46C4"/>
    <w:rsid w:val="00BF6CE2"/>
    <w:rsid w:val="00C01263"/>
    <w:rsid w:val="00C01DC0"/>
    <w:rsid w:val="00C04303"/>
    <w:rsid w:val="00C0615A"/>
    <w:rsid w:val="00C1072C"/>
    <w:rsid w:val="00C11DC8"/>
    <w:rsid w:val="00C12A28"/>
    <w:rsid w:val="00C13CAD"/>
    <w:rsid w:val="00C14EE6"/>
    <w:rsid w:val="00C15B4B"/>
    <w:rsid w:val="00C202B6"/>
    <w:rsid w:val="00C203C8"/>
    <w:rsid w:val="00C20D3E"/>
    <w:rsid w:val="00C218A0"/>
    <w:rsid w:val="00C21AE7"/>
    <w:rsid w:val="00C25380"/>
    <w:rsid w:val="00C275CB"/>
    <w:rsid w:val="00C30E74"/>
    <w:rsid w:val="00C344BF"/>
    <w:rsid w:val="00C36302"/>
    <w:rsid w:val="00C37468"/>
    <w:rsid w:val="00C413A0"/>
    <w:rsid w:val="00C415CE"/>
    <w:rsid w:val="00C425B1"/>
    <w:rsid w:val="00C44515"/>
    <w:rsid w:val="00C445DA"/>
    <w:rsid w:val="00C44DE6"/>
    <w:rsid w:val="00C479A9"/>
    <w:rsid w:val="00C50C59"/>
    <w:rsid w:val="00C51CBC"/>
    <w:rsid w:val="00C5488C"/>
    <w:rsid w:val="00C55A99"/>
    <w:rsid w:val="00C572C1"/>
    <w:rsid w:val="00C574DA"/>
    <w:rsid w:val="00C61531"/>
    <w:rsid w:val="00C61DD2"/>
    <w:rsid w:val="00C6578B"/>
    <w:rsid w:val="00C706C7"/>
    <w:rsid w:val="00C71C02"/>
    <w:rsid w:val="00C72810"/>
    <w:rsid w:val="00C72FC2"/>
    <w:rsid w:val="00C73DF3"/>
    <w:rsid w:val="00C8327E"/>
    <w:rsid w:val="00C85641"/>
    <w:rsid w:val="00C86E20"/>
    <w:rsid w:val="00C87337"/>
    <w:rsid w:val="00C879F4"/>
    <w:rsid w:val="00C87A05"/>
    <w:rsid w:val="00C902D8"/>
    <w:rsid w:val="00C90FBB"/>
    <w:rsid w:val="00C93649"/>
    <w:rsid w:val="00C94594"/>
    <w:rsid w:val="00C96368"/>
    <w:rsid w:val="00C9697E"/>
    <w:rsid w:val="00C97AC2"/>
    <w:rsid w:val="00CA2445"/>
    <w:rsid w:val="00CA28D9"/>
    <w:rsid w:val="00CA42C2"/>
    <w:rsid w:val="00CA52DB"/>
    <w:rsid w:val="00CA6602"/>
    <w:rsid w:val="00CA72F2"/>
    <w:rsid w:val="00CB0446"/>
    <w:rsid w:val="00CB109E"/>
    <w:rsid w:val="00CB1302"/>
    <w:rsid w:val="00CB3C98"/>
    <w:rsid w:val="00CB66EB"/>
    <w:rsid w:val="00CB6DD5"/>
    <w:rsid w:val="00CC0EC2"/>
    <w:rsid w:val="00CC1994"/>
    <w:rsid w:val="00CC4A8D"/>
    <w:rsid w:val="00CC5198"/>
    <w:rsid w:val="00CC6C88"/>
    <w:rsid w:val="00CD17F5"/>
    <w:rsid w:val="00CD21E2"/>
    <w:rsid w:val="00CD30F7"/>
    <w:rsid w:val="00CD4F0B"/>
    <w:rsid w:val="00CD616F"/>
    <w:rsid w:val="00CE787E"/>
    <w:rsid w:val="00CF0613"/>
    <w:rsid w:val="00CF137C"/>
    <w:rsid w:val="00CF4586"/>
    <w:rsid w:val="00CF7905"/>
    <w:rsid w:val="00D023D2"/>
    <w:rsid w:val="00D0702A"/>
    <w:rsid w:val="00D07AF8"/>
    <w:rsid w:val="00D1015D"/>
    <w:rsid w:val="00D112E9"/>
    <w:rsid w:val="00D2060E"/>
    <w:rsid w:val="00D23582"/>
    <w:rsid w:val="00D23842"/>
    <w:rsid w:val="00D2788E"/>
    <w:rsid w:val="00D27951"/>
    <w:rsid w:val="00D27D04"/>
    <w:rsid w:val="00D27DF6"/>
    <w:rsid w:val="00D27E5D"/>
    <w:rsid w:val="00D302F0"/>
    <w:rsid w:val="00D32305"/>
    <w:rsid w:val="00D339EC"/>
    <w:rsid w:val="00D33AE1"/>
    <w:rsid w:val="00D347FE"/>
    <w:rsid w:val="00D35721"/>
    <w:rsid w:val="00D40F8C"/>
    <w:rsid w:val="00D419C1"/>
    <w:rsid w:val="00D41CE7"/>
    <w:rsid w:val="00D440F8"/>
    <w:rsid w:val="00D44584"/>
    <w:rsid w:val="00D4486C"/>
    <w:rsid w:val="00D44BA2"/>
    <w:rsid w:val="00D44D2E"/>
    <w:rsid w:val="00D464A0"/>
    <w:rsid w:val="00D470B5"/>
    <w:rsid w:val="00D47D9A"/>
    <w:rsid w:val="00D65D09"/>
    <w:rsid w:val="00D67143"/>
    <w:rsid w:val="00D67350"/>
    <w:rsid w:val="00D67FB5"/>
    <w:rsid w:val="00D76458"/>
    <w:rsid w:val="00D76F26"/>
    <w:rsid w:val="00D772DF"/>
    <w:rsid w:val="00D811EA"/>
    <w:rsid w:val="00D82A4A"/>
    <w:rsid w:val="00D82F15"/>
    <w:rsid w:val="00D83504"/>
    <w:rsid w:val="00D83C80"/>
    <w:rsid w:val="00D86A60"/>
    <w:rsid w:val="00D87F87"/>
    <w:rsid w:val="00D91D90"/>
    <w:rsid w:val="00D928B1"/>
    <w:rsid w:val="00D92E5B"/>
    <w:rsid w:val="00D94848"/>
    <w:rsid w:val="00DA0B63"/>
    <w:rsid w:val="00DA1789"/>
    <w:rsid w:val="00DA181C"/>
    <w:rsid w:val="00DA2A6C"/>
    <w:rsid w:val="00DA3B7D"/>
    <w:rsid w:val="00DA53F6"/>
    <w:rsid w:val="00DA6254"/>
    <w:rsid w:val="00DA6931"/>
    <w:rsid w:val="00DC1023"/>
    <w:rsid w:val="00DC1D56"/>
    <w:rsid w:val="00DC2421"/>
    <w:rsid w:val="00DC574C"/>
    <w:rsid w:val="00DC7171"/>
    <w:rsid w:val="00DC79A8"/>
    <w:rsid w:val="00DD0314"/>
    <w:rsid w:val="00DD3378"/>
    <w:rsid w:val="00DD5BCB"/>
    <w:rsid w:val="00DD5E50"/>
    <w:rsid w:val="00DD64EC"/>
    <w:rsid w:val="00DE3ED8"/>
    <w:rsid w:val="00DF236A"/>
    <w:rsid w:val="00DF4504"/>
    <w:rsid w:val="00DF4E8C"/>
    <w:rsid w:val="00DF6140"/>
    <w:rsid w:val="00DF6D92"/>
    <w:rsid w:val="00E006DF"/>
    <w:rsid w:val="00E00FEC"/>
    <w:rsid w:val="00E047B9"/>
    <w:rsid w:val="00E06FEB"/>
    <w:rsid w:val="00E127D7"/>
    <w:rsid w:val="00E12F90"/>
    <w:rsid w:val="00E14407"/>
    <w:rsid w:val="00E164A9"/>
    <w:rsid w:val="00E17134"/>
    <w:rsid w:val="00E17BE5"/>
    <w:rsid w:val="00E2001B"/>
    <w:rsid w:val="00E216C7"/>
    <w:rsid w:val="00E22FDD"/>
    <w:rsid w:val="00E23B08"/>
    <w:rsid w:val="00E242D6"/>
    <w:rsid w:val="00E243FA"/>
    <w:rsid w:val="00E24B4C"/>
    <w:rsid w:val="00E25D87"/>
    <w:rsid w:val="00E31AE8"/>
    <w:rsid w:val="00E31E6A"/>
    <w:rsid w:val="00E365CC"/>
    <w:rsid w:val="00E365D8"/>
    <w:rsid w:val="00E3739D"/>
    <w:rsid w:val="00E432E8"/>
    <w:rsid w:val="00E4455F"/>
    <w:rsid w:val="00E4567E"/>
    <w:rsid w:val="00E46A91"/>
    <w:rsid w:val="00E5176C"/>
    <w:rsid w:val="00E5555E"/>
    <w:rsid w:val="00E55901"/>
    <w:rsid w:val="00E613E7"/>
    <w:rsid w:val="00E61687"/>
    <w:rsid w:val="00E64A3F"/>
    <w:rsid w:val="00E654FA"/>
    <w:rsid w:val="00E65AA9"/>
    <w:rsid w:val="00E67B64"/>
    <w:rsid w:val="00E67CC9"/>
    <w:rsid w:val="00E67F8A"/>
    <w:rsid w:val="00E7076F"/>
    <w:rsid w:val="00E70DD4"/>
    <w:rsid w:val="00E72099"/>
    <w:rsid w:val="00E727FC"/>
    <w:rsid w:val="00E77DD3"/>
    <w:rsid w:val="00E82DF8"/>
    <w:rsid w:val="00E83188"/>
    <w:rsid w:val="00E83BA9"/>
    <w:rsid w:val="00E86944"/>
    <w:rsid w:val="00E86BD7"/>
    <w:rsid w:val="00E86D6D"/>
    <w:rsid w:val="00E903EA"/>
    <w:rsid w:val="00E92972"/>
    <w:rsid w:val="00E92B83"/>
    <w:rsid w:val="00EA1060"/>
    <w:rsid w:val="00EA1928"/>
    <w:rsid w:val="00EA3DBB"/>
    <w:rsid w:val="00EA430B"/>
    <w:rsid w:val="00EA64C2"/>
    <w:rsid w:val="00EA6A57"/>
    <w:rsid w:val="00EB0841"/>
    <w:rsid w:val="00EB3D22"/>
    <w:rsid w:val="00EB4360"/>
    <w:rsid w:val="00EB4CEB"/>
    <w:rsid w:val="00EB5016"/>
    <w:rsid w:val="00EB5668"/>
    <w:rsid w:val="00EC062C"/>
    <w:rsid w:val="00EC1493"/>
    <w:rsid w:val="00EC3FC3"/>
    <w:rsid w:val="00EC459D"/>
    <w:rsid w:val="00EC6FD5"/>
    <w:rsid w:val="00ED00FE"/>
    <w:rsid w:val="00ED1024"/>
    <w:rsid w:val="00ED1211"/>
    <w:rsid w:val="00ED18F2"/>
    <w:rsid w:val="00ED3439"/>
    <w:rsid w:val="00ED39E9"/>
    <w:rsid w:val="00EE0F65"/>
    <w:rsid w:val="00EE19C3"/>
    <w:rsid w:val="00EE1EBA"/>
    <w:rsid w:val="00EE36A5"/>
    <w:rsid w:val="00EE7605"/>
    <w:rsid w:val="00EF13A1"/>
    <w:rsid w:val="00EF4121"/>
    <w:rsid w:val="00EF6354"/>
    <w:rsid w:val="00EF6BEF"/>
    <w:rsid w:val="00EF70DE"/>
    <w:rsid w:val="00F01CD9"/>
    <w:rsid w:val="00F03273"/>
    <w:rsid w:val="00F03D64"/>
    <w:rsid w:val="00F0480C"/>
    <w:rsid w:val="00F0495D"/>
    <w:rsid w:val="00F05307"/>
    <w:rsid w:val="00F07850"/>
    <w:rsid w:val="00F11A5A"/>
    <w:rsid w:val="00F12B9B"/>
    <w:rsid w:val="00F1459C"/>
    <w:rsid w:val="00F163DF"/>
    <w:rsid w:val="00F20DC7"/>
    <w:rsid w:val="00F21AED"/>
    <w:rsid w:val="00F23E42"/>
    <w:rsid w:val="00F23F21"/>
    <w:rsid w:val="00F25D0D"/>
    <w:rsid w:val="00F3660A"/>
    <w:rsid w:val="00F37B0B"/>
    <w:rsid w:val="00F37DE1"/>
    <w:rsid w:val="00F40A8D"/>
    <w:rsid w:val="00F419C8"/>
    <w:rsid w:val="00F41B3B"/>
    <w:rsid w:val="00F436E5"/>
    <w:rsid w:val="00F456D4"/>
    <w:rsid w:val="00F52B47"/>
    <w:rsid w:val="00F57763"/>
    <w:rsid w:val="00F61F00"/>
    <w:rsid w:val="00F62FA5"/>
    <w:rsid w:val="00F63D53"/>
    <w:rsid w:val="00F6486A"/>
    <w:rsid w:val="00F676D7"/>
    <w:rsid w:val="00F6785C"/>
    <w:rsid w:val="00F67CDD"/>
    <w:rsid w:val="00F7027B"/>
    <w:rsid w:val="00F74793"/>
    <w:rsid w:val="00F76F26"/>
    <w:rsid w:val="00F804EB"/>
    <w:rsid w:val="00F83129"/>
    <w:rsid w:val="00F845E4"/>
    <w:rsid w:val="00FA39D4"/>
    <w:rsid w:val="00FA3C92"/>
    <w:rsid w:val="00FA6D82"/>
    <w:rsid w:val="00FB5F5C"/>
    <w:rsid w:val="00FB6334"/>
    <w:rsid w:val="00FB6DE7"/>
    <w:rsid w:val="00FC0598"/>
    <w:rsid w:val="00FC0FB0"/>
    <w:rsid w:val="00FC34B9"/>
    <w:rsid w:val="00FC5717"/>
    <w:rsid w:val="00FC6995"/>
    <w:rsid w:val="00FC7C03"/>
    <w:rsid w:val="00FD0648"/>
    <w:rsid w:val="00FD3375"/>
    <w:rsid w:val="00FD60C1"/>
    <w:rsid w:val="00FE529E"/>
    <w:rsid w:val="00FE615B"/>
    <w:rsid w:val="00FE6955"/>
    <w:rsid w:val="00FF012F"/>
    <w:rsid w:val="00FF37B5"/>
    <w:rsid w:val="00FF4A3F"/>
    <w:rsid w:val="00FF57AD"/>
    <w:rsid w:val="00FF5E5A"/>
    <w:rsid w:val="00FF669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41"/>
    <w:pPr>
      <w:ind w:left="720"/>
      <w:contextualSpacing/>
    </w:pPr>
  </w:style>
  <w:style w:type="table" w:styleId="TableGrid">
    <w:name w:val="Table Grid"/>
    <w:basedOn w:val="TableNormal"/>
    <w:uiPriority w:val="39"/>
    <w:rsid w:val="0089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06"/>
  </w:style>
  <w:style w:type="paragraph" w:styleId="Footer">
    <w:name w:val="footer"/>
    <w:basedOn w:val="Normal"/>
    <w:link w:val="FooterChar"/>
    <w:uiPriority w:val="99"/>
    <w:unhideWhenUsed/>
    <w:rsid w:val="0089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06"/>
  </w:style>
  <w:style w:type="paragraph" w:styleId="BalloonText">
    <w:name w:val="Balloon Text"/>
    <w:basedOn w:val="Normal"/>
    <w:link w:val="BalloonTextChar"/>
    <w:uiPriority w:val="99"/>
    <w:semiHidden/>
    <w:unhideWhenUsed/>
    <w:rsid w:val="00A8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AE"/>
    <w:rPr>
      <w:rFonts w:ascii="Segoe UI" w:hAnsi="Segoe UI" w:cs="Segoe UI"/>
      <w:sz w:val="18"/>
      <w:szCs w:val="18"/>
    </w:rPr>
  </w:style>
  <w:style w:type="paragraph" w:styleId="FootnoteText">
    <w:name w:val="footnote text"/>
    <w:basedOn w:val="Normal"/>
    <w:link w:val="FootnoteTextChar"/>
    <w:uiPriority w:val="99"/>
    <w:semiHidden/>
    <w:unhideWhenUsed/>
    <w:rsid w:val="00470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344"/>
    <w:rPr>
      <w:sz w:val="20"/>
      <w:szCs w:val="20"/>
    </w:rPr>
  </w:style>
  <w:style w:type="character" w:styleId="FootnoteReference">
    <w:name w:val="footnote reference"/>
    <w:basedOn w:val="DefaultParagraphFont"/>
    <w:uiPriority w:val="99"/>
    <w:semiHidden/>
    <w:unhideWhenUsed/>
    <w:rsid w:val="0047034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41"/>
    <w:pPr>
      <w:ind w:left="720"/>
      <w:contextualSpacing/>
    </w:pPr>
  </w:style>
  <w:style w:type="table" w:styleId="TableGrid">
    <w:name w:val="Table Grid"/>
    <w:basedOn w:val="TableNormal"/>
    <w:uiPriority w:val="39"/>
    <w:rsid w:val="0089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06"/>
  </w:style>
  <w:style w:type="paragraph" w:styleId="Footer">
    <w:name w:val="footer"/>
    <w:basedOn w:val="Normal"/>
    <w:link w:val="FooterChar"/>
    <w:uiPriority w:val="99"/>
    <w:unhideWhenUsed/>
    <w:rsid w:val="0089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06"/>
  </w:style>
  <w:style w:type="paragraph" w:styleId="BalloonText">
    <w:name w:val="Balloon Text"/>
    <w:basedOn w:val="Normal"/>
    <w:link w:val="BalloonTextChar"/>
    <w:uiPriority w:val="99"/>
    <w:semiHidden/>
    <w:unhideWhenUsed/>
    <w:rsid w:val="00A8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AE"/>
    <w:rPr>
      <w:rFonts w:ascii="Segoe UI" w:hAnsi="Segoe UI" w:cs="Segoe UI"/>
      <w:sz w:val="18"/>
      <w:szCs w:val="18"/>
    </w:rPr>
  </w:style>
  <w:style w:type="paragraph" w:styleId="FootnoteText">
    <w:name w:val="footnote text"/>
    <w:basedOn w:val="Normal"/>
    <w:link w:val="FootnoteTextChar"/>
    <w:uiPriority w:val="99"/>
    <w:semiHidden/>
    <w:unhideWhenUsed/>
    <w:rsid w:val="00470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344"/>
    <w:rPr>
      <w:sz w:val="20"/>
      <w:szCs w:val="20"/>
    </w:rPr>
  </w:style>
  <w:style w:type="character" w:styleId="FootnoteReference">
    <w:name w:val="footnote reference"/>
    <w:basedOn w:val="DefaultParagraphFont"/>
    <w:uiPriority w:val="99"/>
    <w:semiHidden/>
    <w:unhideWhenUsed/>
    <w:rsid w:val="0047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42657">
      <w:bodyDiv w:val="1"/>
      <w:marLeft w:val="0"/>
      <w:marRight w:val="0"/>
      <w:marTop w:val="0"/>
      <w:marBottom w:val="0"/>
      <w:divBdr>
        <w:top w:val="none" w:sz="0" w:space="0" w:color="auto"/>
        <w:left w:val="none" w:sz="0" w:space="0" w:color="auto"/>
        <w:bottom w:val="none" w:sz="0" w:space="0" w:color="auto"/>
        <w:right w:val="none" w:sz="0" w:space="0" w:color="auto"/>
      </w:divBdr>
      <w:divsChild>
        <w:div w:id="1615555929">
          <w:marLeft w:val="360"/>
          <w:marRight w:val="0"/>
          <w:marTop w:val="200"/>
          <w:marBottom w:val="0"/>
          <w:divBdr>
            <w:top w:val="none" w:sz="0" w:space="0" w:color="auto"/>
            <w:left w:val="none" w:sz="0" w:space="0" w:color="auto"/>
            <w:bottom w:val="none" w:sz="0" w:space="0" w:color="auto"/>
            <w:right w:val="none" w:sz="0" w:space="0" w:color="auto"/>
          </w:divBdr>
        </w:div>
        <w:div w:id="676493825">
          <w:marLeft w:val="360"/>
          <w:marRight w:val="0"/>
          <w:marTop w:val="200"/>
          <w:marBottom w:val="0"/>
          <w:divBdr>
            <w:top w:val="none" w:sz="0" w:space="0" w:color="auto"/>
            <w:left w:val="none" w:sz="0" w:space="0" w:color="auto"/>
            <w:bottom w:val="none" w:sz="0" w:space="0" w:color="auto"/>
            <w:right w:val="none" w:sz="0" w:space="0" w:color="auto"/>
          </w:divBdr>
        </w:div>
        <w:div w:id="12138809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1C01-A87A-394E-A7B6-CC560436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Simon Massey</cp:lastModifiedBy>
  <cp:revision>2</cp:revision>
  <cp:lastPrinted>2015-11-30T11:13:00Z</cp:lastPrinted>
  <dcterms:created xsi:type="dcterms:W3CDTF">2015-12-21T12:06:00Z</dcterms:created>
  <dcterms:modified xsi:type="dcterms:W3CDTF">2015-12-21T12:06:00Z</dcterms:modified>
</cp:coreProperties>
</file>